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A38" w:rsidRPr="00072AEA" w:rsidRDefault="00184A38" w:rsidP="00184A38">
      <w:pPr>
        <w:pStyle w:val="2"/>
        <w:pBdr>
          <w:bottom w:val="none" w:sz="0" w:space="0" w:color="000000"/>
        </w:pBdr>
        <w:spacing w:after="360"/>
        <w:ind w:left="0" w:hanging="2"/>
        <w:rPr>
          <w:rFonts w:ascii="Calibri" w:hAnsi="Calibri" w:cs="Calibri"/>
          <w:color w:val="auto"/>
          <w:sz w:val="22"/>
          <w:szCs w:val="20"/>
          <w:lang w:val="el-GR"/>
        </w:rPr>
      </w:pPr>
      <w:bookmarkStart w:id="0" w:name="_Toc212647734"/>
      <w:r w:rsidRPr="00072AEA">
        <w:rPr>
          <w:rFonts w:ascii="Calibri" w:hAnsi="Calibri" w:cs="Calibri"/>
          <w:color w:val="auto"/>
          <w:sz w:val="22"/>
          <w:szCs w:val="20"/>
          <w:lang w:val="el-GR"/>
        </w:rPr>
        <w:t>ΙΙ.2 Πίνακες «Τεχνικής Συμμόρφωσης» των προς Προμήθεια Ειδών</w:t>
      </w:r>
      <w:bookmarkEnd w:id="0"/>
    </w:p>
    <w:p w:rsidR="00184A38" w:rsidRPr="00072AEA" w:rsidRDefault="00184A38" w:rsidP="00184A38">
      <w:pPr>
        <w:tabs>
          <w:tab w:val="left" w:pos="3660"/>
          <w:tab w:val="left" w:pos="3690"/>
        </w:tabs>
        <w:spacing w:before="80" w:line="288" w:lineRule="auto"/>
        <w:ind w:left="0" w:hanging="2"/>
        <w:rPr>
          <w:szCs w:val="20"/>
          <w:lang w:val="el-GR"/>
        </w:rPr>
      </w:pPr>
      <w:r w:rsidRPr="00072AEA">
        <w:rPr>
          <w:szCs w:val="20"/>
          <w:lang w:val="el-GR"/>
        </w:rPr>
        <w:t xml:space="preserve">Οι </w:t>
      </w:r>
      <w:r w:rsidRPr="00072AEA">
        <w:rPr>
          <w:b/>
          <w:szCs w:val="20"/>
          <w:lang w:val="el-GR"/>
        </w:rPr>
        <w:t>Πίνακες “Συμμόρφωσης”</w:t>
      </w:r>
      <w:r w:rsidRPr="00072AEA">
        <w:rPr>
          <w:szCs w:val="20"/>
          <w:lang w:val="el-GR"/>
        </w:rPr>
        <w:t xml:space="preserve"> (τεχνικής “συμμόρφωσης”) αποτελούν αναπόσπαστο μέρος της παρούσας διακήρυξης και η συμπλήρωση τους είναι υποχρεωτική, και </w:t>
      </w:r>
      <w:r w:rsidRPr="00072AEA">
        <w:rPr>
          <w:szCs w:val="20"/>
          <w:u w:val="single"/>
          <w:lang w:val="el-GR"/>
        </w:rPr>
        <w:t>θα εμπεριέχονται στην Τεχνική Προσφορά του υποψηφίου</w:t>
      </w:r>
      <w:r w:rsidRPr="00072AEA">
        <w:rPr>
          <w:szCs w:val="20"/>
          <w:lang w:val="el-GR"/>
        </w:rPr>
        <w:t xml:space="preserve">. Τα απαιτούμενα σύμφωνα με τους Πίνακες Συμμόρφωσης τεχνικά χαρακτηριστικά θεωρούνται όλα σημαντικά και η μη εξολοκλήρου κάλυψή τους ενδέχεται, κατά την κρίση της Ε.Δ.Δ.Α.Π., να αποτελέσει λόγο απόρριψης της προσφοράς. </w:t>
      </w:r>
    </w:p>
    <w:p w:rsidR="00184A38" w:rsidRPr="00072AEA" w:rsidRDefault="00184A38" w:rsidP="00184A38">
      <w:pPr>
        <w:tabs>
          <w:tab w:val="left" w:pos="3660"/>
          <w:tab w:val="left" w:pos="3690"/>
        </w:tabs>
        <w:spacing w:before="80" w:line="288" w:lineRule="auto"/>
        <w:ind w:left="0" w:hanging="2"/>
        <w:rPr>
          <w:szCs w:val="20"/>
          <w:lang w:val="el-GR"/>
        </w:rPr>
      </w:pPr>
      <w:r w:rsidRPr="00072AEA">
        <w:rPr>
          <w:szCs w:val="20"/>
          <w:lang w:val="el-GR"/>
        </w:rPr>
        <w:t>Οι Πίνακες Συμμόρφωσης έχουν διαμορφωθεί όπως ακολουθεί και θα συμπληρωθούν υποχρεωτικά σύμφωνα με τις παρακάτω οδηγίες:</w:t>
      </w:r>
    </w:p>
    <w:p w:rsidR="00184A38" w:rsidRPr="00072AEA" w:rsidRDefault="00184A38" w:rsidP="00184A38">
      <w:pPr>
        <w:widowControl w:val="0"/>
        <w:spacing w:before="60" w:line="288" w:lineRule="auto"/>
        <w:ind w:left="0" w:hanging="2"/>
        <w:rPr>
          <w:szCs w:val="20"/>
          <w:lang w:val="el-GR"/>
        </w:rPr>
      </w:pPr>
      <w:r w:rsidRPr="00072AEA">
        <w:rPr>
          <w:szCs w:val="20"/>
          <w:lang w:val="el-GR"/>
        </w:rPr>
        <w:t xml:space="preserve">1. Να απαντηθούν υποχρεωτικά μία προς μία οι ερωτήσεις σχετικά με τις τεχνικές προδιαγραφές στη στήλη «Απάντηση», τσεκάροντας τα σχετικά τετραγωνίδια. </w:t>
      </w:r>
    </w:p>
    <w:p w:rsidR="00184A38" w:rsidRPr="00072AEA" w:rsidRDefault="00184A38" w:rsidP="00184A38">
      <w:pPr>
        <w:widowControl w:val="0"/>
        <w:spacing w:line="288" w:lineRule="auto"/>
        <w:ind w:left="0" w:hanging="2"/>
        <w:rPr>
          <w:szCs w:val="20"/>
          <w:lang w:val="el-GR"/>
        </w:rPr>
      </w:pPr>
      <w:r w:rsidRPr="00072AEA">
        <w:rPr>
          <w:szCs w:val="20"/>
          <w:lang w:val="el-GR"/>
        </w:rPr>
        <w:t>Κλειδί απαντήσεων: ΝΑΙ = το προσφερόμενο είδος πληροί τις τεχνικές προδιαγραφές, ΟΧΙ = το προσφερόμενο είδος δεν πληροί τις τεχνικές προδιαγραφές.</w:t>
      </w:r>
    </w:p>
    <w:p w:rsidR="00184A38" w:rsidRPr="00072AEA" w:rsidRDefault="00184A38" w:rsidP="00184A38">
      <w:pPr>
        <w:widowControl w:val="0"/>
        <w:spacing w:before="60" w:line="288" w:lineRule="auto"/>
        <w:ind w:left="0" w:hanging="2"/>
        <w:rPr>
          <w:szCs w:val="20"/>
          <w:lang w:val="el-GR"/>
        </w:rPr>
      </w:pPr>
      <w:r w:rsidRPr="00072AEA">
        <w:rPr>
          <w:szCs w:val="20"/>
          <w:lang w:val="el-GR"/>
        </w:rPr>
        <w:t>2. Στη στήλη «Παραπομπή», καταγράφεται η τεκμηρίωση της κάλυψης ή υπερκάλυψης της αντίστοιχης τεχνικής προδιαγραφής (π.χ. με παραπομπή σε τεχνικό ενημερωτικό φυλλάδιο του κατασκευαστή (</w:t>
      </w:r>
      <w:r w:rsidRPr="00072AEA">
        <w:rPr>
          <w:szCs w:val="20"/>
        </w:rPr>
        <w:t>Prospectus</w:t>
      </w:r>
      <w:r w:rsidRPr="00072AEA">
        <w:rPr>
          <w:szCs w:val="20"/>
          <w:lang w:val="el-GR"/>
        </w:rPr>
        <w:t xml:space="preserve">) ή αναλυτική τεχνική περιγραφή των ειδών ή του τρόπου λειτουργίας ή με αναφορά της μεθοδολογίας εγκατάστασης, υποστήριξης και εκπαίδευσης κλπ). Είναι ιδιαίτερα επιθυμητή η ευκρινής συμπλήρωση και η συγκεκριμενοποίηση των παραπομπών (π.χ. τεχνικό Φυλλάδιο 3, Σελ. 4, Παράγραφος 4 κλπ). </w:t>
      </w:r>
    </w:p>
    <w:p w:rsidR="00184A38" w:rsidRPr="00072AEA" w:rsidRDefault="00184A38" w:rsidP="00184A38">
      <w:pPr>
        <w:tabs>
          <w:tab w:val="left" w:pos="3660"/>
          <w:tab w:val="left" w:pos="3690"/>
        </w:tabs>
        <w:spacing w:before="80" w:line="288" w:lineRule="auto"/>
        <w:ind w:left="0" w:hanging="2"/>
        <w:rPr>
          <w:szCs w:val="20"/>
          <w:lang w:val="el-GR"/>
        </w:rPr>
      </w:pPr>
      <w:r w:rsidRPr="00072AEA">
        <w:rPr>
          <w:b/>
          <w:szCs w:val="20"/>
          <w:lang w:val="el-GR"/>
        </w:rPr>
        <w:t xml:space="preserve">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 τα οποία έχουν διαμορφωθεί αποκλειστικά με μέριμνα και ευθύνη της Επιστημονικά Υπεύθυνης (Ε.Υ.). </w:t>
      </w:r>
    </w:p>
    <w:p w:rsidR="00184A38" w:rsidRPr="00072AEA" w:rsidRDefault="00184A38" w:rsidP="00184A38">
      <w:pPr>
        <w:tabs>
          <w:tab w:val="left" w:pos="3660"/>
          <w:tab w:val="left" w:pos="3690"/>
        </w:tabs>
        <w:spacing w:before="80" w:line="288" w:lineRule="auto"/>
        <w:ind w:left="0" w:hanging="2"/>
        <w:rPr>
          <w:b/>
          <w:szCs w:val="20"/>
          <w:lang w:val="el-GR"/>
        </w:rPr>
      </w:pPr>
      <w:r w:rsidRPr="00072AEA">
        <w:rPr>
          <w:b/>
          <w:szCs w:val="20"/>
          <w:lang w:val="el-GR"/>
        </w:rPr>
        <w:t>Επίσης και οι Πίνακες “Συμμόρφωσης” έχουν διαμορφωθεί αποκλειστικά με μέριμνα και ευθύνη της Επιστημονικά Υπεύθυνης (Ε.Υ.).</w:t>
      </w:r>
    </w:p>
    <w:p w:rsidR="00184A38" w:rsidRPr="00072AEA" w:rsidRDefault="00184A38" w:rsidP="00184A38">
      <w:pPr>
        <w:tabs>
          <w:tab w:val="left" w:pos="3660"/>
          <w:tab w:val="left" w:pos="3690"/>
        </w:tabs>
        <w:spacing w:before="80" w:line="288" w:lineRule="auto"/>
        <w:ind w:left="0" w:hanging="2"/>
        <w:rPr>
          <w:b/>
          <w:sz w:val="20"/>
          <w:szCs w:val="20"/>
          <w:u w:val="single"/>
          <w:lang w:val="el-GR"/>
        </w:rPr>
      </w:pPr>
    </w:p>
    <w:p w:rsidR="00184A38" w:rsidRPr="00072AEA" w:rsidRDefault="00184A38" w:rsidP="00184A38">
      <w:pPr>
        <w:tabs>
          <w:tab w:val="left" w:pos="3660"/>
          <w:tab w:val="left" w:pos="3690"/>
        </w:tabs>
        <w:spacing w:before="80" w:line="288" w:lineRule="auto"/>
        <w:ind w:left="0" w:hanging="2"/>
        <w:rPr>
          <w:sz w:val="20"/>
          <w:szCs w:val="20"/>
          <w:lang w:val="el-GR"/>
        </w:rPr>
      </w:pPr>
      <w:r w:rsidRPr="00072AEA">
        <w:rPr>
          <w:b/>
          <w:sz w:val="20"/>
          <w:szCs w:val="20"/>
          <w:u w:val="single"/>
          <w:lang w:val="el-GR"/>
        </w:rPr>
        <w:t>Πίνακας ΙΙ.1</w:t>
      </w:r>
      <w:r w:rsidRPr="00072AEA">
        <w:rPr>
          <w:b/>
          <w:sz w:val="20"/>
          <w:szCs w:val="20"/>
          <w:u w:val="single"/>
        </w:rPr>
        <w:t>a</w:t>
      </w:r>
      <w:r w:rsidRPr="00072AEA">
        <w:rPr>
          <w:b/>
          <w:sz w:val="20"/>
          <w:szCs w:val="20"/>
          <w:lang w:val="el-GR"/>
        </w:rPr>
        <w:t xml:space="preserve">: Πίνακας “Συμμόρφωσης” Τεχνικής Προσφοράς </w:t>
      </w:r>
    </w:p>
    <w:tbl>
      <w:tblPr>
        <w:tblW w:w="9870" w:type="dxa"/>
        <w:tblInd w:w="113" w:type="dxa"/>
        <w:tblLayout w:type="fixed"/>
        <w:tblLook w:val="0000" w:firstRow="0" w:lastRow="0" w:firstColumn="0" w:lastColumn="0" w:noHBand="0" w:noVBand="0"/>
      </w:tblPr>
      <w:tblGrid>
        <w:gridCol w:w="960"/>
        <w:gridCol w:w="5556"/>
        <w:gridCol w:w="1559"/>
        <w:gridCol w:w="1559"/>
        <w:gridCol w:w="236"/>
        <w:tblGridChange w:id="1">
          <w:tblGrid>
            <w:gridCol w:w="960"/>
            <w:gridCol w:w="5556"/>
            <w:gridCol w:w="1559"/>
            <w:gridCol w:w="1559"/>
            <w:gridCol w:w="236"/>
          </w:tblGrid>
        </w:tblGridChange>
      </w:tblGrid>
      <w:tr w:rsidR="00184A38" w:rsidRPr="00072AEA" w:rsidTr="00117A26">
        <w:trPr>
          <w:gridAfter w:val="1"/>
          <w:wAfter w:w="236" w:type="dxa"/>
          <w:cantSplit/>
          <w:trHeight w:val="42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spacing w:line="288" w:lineRule="auto"/>
              <w:ind w:left="0" w:hanging="2"/>
              <w:jc w:val="center"/>
              <w:rPr>
                <w:b/>
                <w:sz w:val="20"/>
                <w:szCs w:val="20"/>
                <w:u w:val="single"/>
              </w:rPr>
            </w:pPr>
            <w:r w:rsidRPr="00072AEA">
              <w:rPr>
                <w:b/>
                <w:sz w:val="20"/>
                <w:szCs w:val="20"/>
                <w:u w:val="single"/>
              </w:rPr>
              <w:t xml:space="preserve">Α/Α </w:t>
            </w:r>
          </w:p>
        </w:tc>
        <w:tc>
          <w:tcPr>
            <w:tcW w:w="5556"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spacing w:line="288" w:lineRule="auto"/>
              <w:ind w:left="0" w:hanging="2"/>
              <w:jc w:val="center"/>
              <w:rPr>
                <w:sz w:val="20"/>
                <w:szCs w:val="20"/>
              </w:rPr>
            </w:pPr>
            <w:r w:rsidRPr="00072AEA">
              <w:rPr>
                <w:b/>
                <w:sz w:val="20"/>
                <w:szCs w:val="20"/>
              </w:rPr>
              <w:t>ΧΑΡΑΚΤΗΡΙΣΤΙΚΑ - ΤΕΧΝΙΚΕΣ ΠΡΟΔΙΑΓΡΑΦΕΣ</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spacing w:line="288" w:lineRule="auto"/>
              <w:ind w:left="0" w:hanging="2"/>
              <w:jc w:val="center"/>
              <w:rPr>
                <w:sz w:val="20"/>
                <w:szCs w:val="20"/>
              </w:rPr>
            </w:pPr>
            <w:r w:rsidRPr="00072AEA">
              <w:rPr>
                <w:b/>
                <w:sz w:val="20"/>
                <w:szCs w:val="20"/>
              </w:rPr>
              <w:t xml:space="preserve">ΝΑΙ - ΟΧΙ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spacing w:line="288" w:lineRule="auto"/>
              <w:ind w:left="0" w:hanging="2"/>
              <w:jc w:val="center"/>
              <w:rPr>
                <w:sz w:val="20"/>
                <w:szCs w:val="20"/>
              </w:rPr>
            </w:pPr>
            <w:r w:rsidRPr="00072AEA">
              <w:rPr>
                <w:b/>
                <w:sz w:val="20"/>
                <w:szCs w:val="20"/>
              </w:rPr>
              <w:t>ΠΑΡΑΠΟΜΠΗ</w:t>
            </w:r>
          </w:p>
        </w:tc>
      </w:tr>
      <w:tr w:rsidR="00184A38" w:rsidRPr="00072AEA" w:rsidTr="00117A26">
        <w:trPr>
          <w:gridAfter w:val="1"/>
          <w:wAfter w:w="236" w:type="dxa"/>
          <w:cantSplit/>
          <w:trHeight w:val="465"/>
        </w:trPr>
        <w:tc>
          <w:tcPr>
            <w:tcW w:w="960"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widowControl w:val="0"/>
              <w:pBdr>
                <w:top w:val="nil"/>
                <w:left w:val="nil"/>
                <w:bottom w:val="nil"/>
                <w:right w:val="nil"/>
                <w:between w:val="nil"/>
              </w:pBdr>
              <w:spacing w:after="0" w:line="276" w:lineRule="auto"/>
              <w:ind w:left="0" w:hanging="2"/>
              <w:jc w:val="left"/>
              <w:rPr>
                <w:b/>
                <w:sz w:val="20"/>
                <w:szCs w:val="20"/>
              </w:rPr>
            </w:pPr>
          </w:p>
        </w:tc>
        <w:tc>
          <w:tcPr>
            <w:tcW w:w="5556"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widowControl w:val="0"/>
              <w:pBdr>
                <w:top w:val="nil"/>
                <w:left w:val="nil"/>
                <w:bottom w:val="nil"/>
                <w:right w:val="nil"/>
                <w:between w:val="nil"/>
              </w:pBdr>
              <w:spacing w:after="0" w:line="276" w:lineRule="auto"/>
              <w:ind w:left="0" w:hanging="2"/>
              <w:jc w:val="left"/>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widowControl w:val="0"/>
              <w:pBdr>
                <w:top w:val="nil"/>
                <w:left w:val="nil"/>
                <w:bottom w:val="nil"/>
                <w:right w:val="nil"/>
                <w:between w:val="nil"/>
              </w:pBdr>
              <w:spacing w:after="0" w:line="276" w:lineRule="auto"/>
              <w:ind w:left="0" w:hanging="2"/>
              <w:jc w:val="left"/>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184A38" w:rsidRPr="00072AEA" w:rsidRDefault="00184A38" w:rsidP="00117A26">
            <w:pPr>
              <w:widowControl w:val="0"/>
              <w:pBdr>
                <w:top w:val="nil"/>
                <w:left w:val="nil"/>
                <w:bottom w:val="nil"/>
                <w:right w:val="nil"/>
                <w:between w:val="nil"/>
              </w:pBdr>
              <w:spacing w:after="0" w:line="276" w:lineRule="auto"/>
              <w:ind w:left="0" w:hanging="2"/>
              <w:jc w:val="left"/>
              <w:rPr>
                <w:sz w:val="20"/>
                <w:szCs w:val="20"/>
              </w:rPr>
            </w:pPr>
          </w:p>
        </w:tc>
      </w:tr>
      <w:tr w:rsidR="00184A38" w:rsidRPr="00072AEA" w:rsidTr="00117A26">
        <w:trPr>
          <w:gridAfter w:val="1"/>
          <w:wAfter w:w="236" w:type="dxa"/>
          <w:trHeight w:val="619"/>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lang w:val="el-GR"/>
              </w:rPr>
            </w:pPr>
            <w:r w:rsidRPr="00072AEA">
              <w:rPr>
                <w:b/>
                <w:bCs/>
                <w:sz w:val="20"/>
                <w:szCs w:val="20"/>
                <w:lang w:val="el-GR"/>
              </w:rPr>
              <w:t>Επιτραπέζιο σύστημα μικροτομογραφίας ακτινών Χ</w:t>
            </w:r>
          </w:p>
        </w:tc>
      </w:tr>
      <w:tr w:rsidR="00184A38" w:rsidRPr="00072AEA" w:rsidTr="00117A26">
        <w:trPr>
          <w:gridAfter w:val="1"/>
          <w:wAfter w:w="236" w:type="dxa"/>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1.1</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left"/>
              <w:rPr>
                <w:b/>
                <w:sz w:val="20"/>
                <w:szCs w:val="20"/>
              </w:rPr>
            </w:pPr>
            <w:r w:rsidRPr="00072AEA">
              <w:rPr>
                <w:b/>
                <w:sz w:val="20"/>
                <w:szCs w:val="20"/>
              </w:rPr>
              <w:t>Γενικά χαρακτηριστικά συστήματος</w:t>
            </w:r>
          </w:p>
        </w:tc>
      </w:tr>
      <w:tr w:rsidR="00184A38" w:rsidRPr="00072AEA" w:rsidTr="00117A26">
        <w:trPr>
          <w:gridAfter w:val="1"/>
          <w:wAfter w:w="236" w:type="dxa"/>
          <w:trHeight w:val="885"/>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Μέγεθος </w:t>
            </w:r>
            <w:r w:rsidRPr="00072AEA">
              <w:rPr>
                <w:sz w:val="20"/>
                <w:szCs w:val="20"/>
              </w:rPr>
              <w:t>pixel</w:t>
            </w:r>
            <w:r w:rsidRPr="00072AEA">
              <w:rPr>
                <w:sz w:val="20"/>
                <w:szCs w:val="20"/>
                <w:lang w:val="el-GR"/>
              </w:rPr>
              <w:t xml:space="preserve"> 2,5μ</w:t>
            </w:r>
            <w:r w:rsidRPr="00072AEA">
              <w:rPr>
                <w:sz w:val="20"/>
                <w:szCs w:val="20"/>
              </w:rPr>
              <w:t>m</w:t>
            </w:r>
            <w:r w:rsidRPr="00072AEA">
              <w:rPr>
                <w:sz w:val="20"/>
                <w:szCs w:val="20"/>
                <w:lang w:val="el-GR"/>
              </w:rPr>
              <w:t xml:space="preserve"> στη μέγιστη μεγέθυνση.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left"/>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lastRenderedPageBreak/>
              <w:t>1.1.2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Πραγματική τρισδιάστατη χωρική ανάλυση ≥</w:t>
            </w:r>
            <w:r w:rsidRPr="00072AEA">
              <w:rPr>
                <w:sz w:val="20"/>
                <w:szCs w:val="20"/>
              </w:rPr>
              <w:t> </w:t>
            </w:r>
            <w:r w:rsidRPr="00072AEA">
              <w:rPr>
                <w:sz w:val="20"/>
                <w:szCs w:val="20"/>
                <w:lang w:val="el-GR"/>
              </w:rPr>
              <w:t>5μ</w:t>
            </w:r>
            <w:r w:rsidRPr="00072AEA">
              <w:rPr>
                <w:sz w:val="20"/>
                <w:szCs w:val="20"/>
              </w:rPr>
              <w:t>m</w:t>
            </w:r>
            <w:r w:rsidRPr="00072AEA">
              <w:rPr>
                <w:sz w:val="20"/>
                <w:szCs w:val="20"/>
                <w:lang w:val="el-GR"/>
              </w:rPr>
              <w:t>, ακόμα και σε χαμηλή ισχύ των ≤ 4</w:t>
            </w:r>
            <w:r w:rsidRPr="00072AEA">
              <w:rPr>
                <w:sz w:val="20"/>
                <w:szCs w:val="20"/>
              </w:rPr>
              <w:t>W</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left"/>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σάρωσης δειγμάτων όγκου ≥</w:t>
            </w:r>
            <w:r w:rsidRPr="00072AEA">
              <w:rPr>
                <w:sz w:val="20"/>
                <w:szCs w:val="20"/>
              </w:rPr>
              <w:t> </w:t>
            </w:r>
            <w:r w:rsidRPr="00072AEA">
              <w:rPr>
                <w:sz w:val="20"/>
                <w:szCs w:val="20"/>
                <w:lang w:val="el-GR"/>
              </w:rPr>
              <w:t>290</w:t>
            </w:r>
            <w:r w:rsidRPr="00072AEA">
              <w:rPr>
                <w:sz w:val="20"/>
                <w:szCs w:val="20"/>
              </w:rPr>
              <w:t>mm</w:t>
            </w:r>
            <w:r w:rsidRPr="00072AEA">
              <w:rPr>
                <w:sz w:val="20"/>
                <w:szCs w:val="20"/>
                <w:lang w:val="el-GR"/>
              </w:rPr>
              <w:t xml:space="preserve"> διάμετρο και ≥ 260</w:t>
            </w:r>
            <w:r w:rsidRPr="00072AEA">
              <w:rPr>
                <w:sz w:val="20"/>
                <w:szCs w:val="20"/>
              </w:rPr>
              <w:t>mm</w:t>
            </w:r>
            <w:r w:rsidRPr="00072AEA">
              <w:rPr>
                <w:sz w:val="20"/>
                <w:szCs w:val="20"/>
                <w:lang w:val="el-GR"/>
              </w:rPr>
              <w:t xml:space="preserve"> σε μήκος.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left"/>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θαλάμου για υποδοχή δειγμάτων όγκου ≥</w:t>
            </w:r>
            <w:r w:rsidRPr="00072AEA">
              <w:rPr>
                <w:sz w:val="20"/>
                <w:szCs w:val="20"/>
              </w:rPr>
              <w:t> </w:t>
            </w:r>
            <w:r w:rsidRPr="00072AEA">
              <w:rPr>
                <w:sz w:val="20"/>
                <w:szCs w:val="20"/>
                <w:lang w:val="el-GR"/>
              </w:rPr>
              <w:t>320</w:t>
            </w:r>
            <w:r w:rsidRPr="00072AEA">
              <w:rPr>
                <w:sz w:val="20"/>
                <w:szCs w:val="20"/>
              </w:rPr>
              <w:t>mm</w:t>
            </w:r>
            <w:r w:rsidRPr="00072AEA">
              <w:rPr>
                <w:sz w:val="20"/>
                <w:szCs w:val="20"/>
                <w:lang w:val="el-GR"/>
              </w:rPr>
              <w:t xml:space="preserve"> διάμετρο και ≥ 540</w:t>
            </w:r>
            <w:r w:rsidRPr="00072AEA">
              <w:rPr>
                <w:sz w:val="20"/>
                <w:szCs w:val="20"/>
              </w:rPr>
              <w:t>mm</w:t>
            </w:r>
            <w:r w:rsidRPr="00072AEA">
              <w:rPr>
                <w:sz w:val="20"/>
                <w:szCs w:val="20"/>
                <w:lang w:val="el-GR"/>
              </w:rPr>
              <w:t xml:space="preserve"> σε μήκος.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Cs/>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left"/>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Συμμόρφωση με τα πρότυπα ακτινοπροστασίας, με έκθεση ≤1 μ</w:t>
            </w:r>
            <w:r w:rsidRPr="00072AEA">
              <w:rPr>
                <w:sz w:val="20"/>
                <w:szCs w:val="20"/>
              </w:rPr>
              <w:t>Sv</w:t>
            </w:r>
            <w:r w:rsidRPr="00072AEA">
              <w:rPr>
                <w:sz w:val="20"/>
                <w:szCs w:val="20"/>
                <w:lang w:val="el-GR"/>
              </w:rPr>
              <w:t>/</w:t>
            </w:r>
            <w:r w:rsidRPr="00072AEA">
              <w:rPr>
                <w:sz w:val="20"/>
                <w:szCs w:val="20"/>
              </w:rPr>
              <w:t>h</w:t>
            </w:r>
            <w:r w:rsidRPr="00072AEA">
              <w:rPr>
                <w:sz w:val="20"/>
                <w:szCs w:val="20"/>
                <w:lang w:val="el-GR"/>
              </w:rPr>
              <w:t xml:space="preserve"> σε απόσταση 10 </w:t>
            </w:r>
            <w:r w:rsidRPr="00072AEA">
              <w:rPr>
                <w:sz w:val="20"/>
                <w:szCs w:val="20"/>
              </w:rPr>
              <w:t>cm</w:t>
            </w:r>
            <w:r w:rsidRPr="00072AEA">
              <w:rPr>
                <w:sz w:val="20"/>
                <w:szCs w:val="20"/>
                <w:lang w:val="el-GR"/>
              </w:rPr>
              <w:t xml:space="preserve"> από την επιφάνεια του συστήματος.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Cs/>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Λειτουργία με τυποποιημένη παροχή ρεύματος 100-240 </w:t>
            </w:r>
            <w:r w:rsidRPr="00072AEA">
              <w:rPr>
                <w:sz w:val="20"/>
                <w:szCs w:val="20"/>
              </w:rPr>
              <w:t>V</w:t>
            </w:r>
            <w:r w:rsidRPr="00072AEA">
              <w:rPr>
                <w:sz w:val="20"/>
                <w:szCs w:val="20"/>
                <w:lang w:val="el-GR"/>
              </w:rPr>
              <w:t xml:space="preserve"> </w:t>
            </w:r>
            <w:r w:rsidRPr="00072AEA">
              <w:rPr>
                <w:sz w:val="20"/>
                <w:szCs w:val="20"/>
              </w:rPr>
              <w:t>AC</w:t>
            </w:r>
            <w:r w:rsidRPr="00072AEA">
              <w:rPr>
                <w:sz w:val="20"/>
                <w:szCs w:val="20"/>
                <w:lang w:val="el-GR"/>
              </w:rPr>
              <w:t xml:space="preserve">, 50-60 </w:t>
            </w:r>
            <w:r w:rsidRPr="00072AEA">
              <w:rPr>
                <w:sz w:val="20"/>
                <w:szCs w:val="20"/>
              </w:rPr>
              <w:t>Hz</w:t>
            </w:r>
            <w:r w:rsidRPr="00072AEA">
              <w:rPr>
                <w:sz w:val="20"/>
                <w:szCs w:val="20"/>
                <w:lang w:val="el-GR"/>
              </w:rPr>
              <w:t>, 4</w:t>
            </w:r>
            <w:r w:rsidRPr="00072AEA">
              <w:rPr>
                <w:sz w:val="20"/>
                <w:szCs w:val="20"/>
              </w:rPr>
              <w:t>A</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Ενσωματωμένη τράπεζα μικροτοποθέτησης με διαδρομή 10</w:t>
            </w:r>
            <w:r w:rsidRPr="00072AEA">
              <w:rPr>
                <w:sz w:val="20"/>
                <w:szCs w:val="20"/>
              </w:rPr>
              <w:t>mm</w:t>
            </w:r>
            <w:r w:rsidRPr="00072AEA">
              <w:rPr>
                <w:sz w:val="20"/>
                <w:szCs w:val="20"/>
                <w:lang w:val="el-GR"/>
              </w:rPr>
              <w:t>, πάνω από την τράπεζα περιστροφής, για ακριβή τοποθέτηση δειγμάτων ή για επιλογή σάρωσης συγκεκριμένου όγκου μέσα σε μεγάλα δείγματα.</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Παροχή ≥</w:t>
            </w:r>
            <w:r w:rsidRPr="00072AEA">
              <w:rPr>
                <w:sz w:val="20"/>
                <w:szCs w:val="20"/>
              </w:rPr>
              <w:t> </w:t>
            </w:r>
            <w:r w:rsidRPr="00072AEA">
              <w:rPr>
                <w:sz w:val="20"/>
                <w:szCs w:val="20"/>
                <w:lang w:val="el-GR"/>
              </w:rPr>
              <w:t>24</w:t>
            </w:r>
            <w:r w:rsidRPr="00072AEA">
              <w:rPr>
                <w:sz w:val="20"/>
                <w:szCs w:val="20"/>
              </w:rPr>
              <w:t>V</w:t>
            </w:r>
            <w:r w:rsidRPr="00072AEA">
              <w:rPr>
                <w:sz w:val="20"/>
                <w:szCs w:val="20"/>
                <w:lang w:val="el-GR"/>
              </w:rPr>
              <w:t>/1</w:t>
            </w:r>
            <w:r w:rsidRPr="00072AEA">
              <w:rPr>
                <w:sz w:val="20"/>
                <w:szCs w:val="20"/>
              </w:rPr>
              <w:t>A</w:t>
            </w:r>
            <w:r w:rsidRPr="00072AEA">
              <w:rPr>
                <w:sz w:val="20"/>
                <w:szCs w:val="20"/>
                <w:lang w:val="el-GR"/>
              </w:rPr>
              <w:t xml:space="preserve"> μέσω ολισθητήρων για επιπρόσθετες τράπεζες.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Πρόβλεψη θωρακισμένων περασμάτων για πρόσθετα καλώδια και σωλήνες.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1.1.10</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αυτοματοποιημένης σάρωσης σε στρογγυλές, ελικοειδείς τροχιές, στοιβαγμένες κατά τον άξονα Ζ, για αντικείμενα μεγάλου μήκους και γενικότερα υπερμεγέθη δείγματα.</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1.1.11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Υποστήριξη σάρωσης δειγμάτων βάρους ≥</w:t>
            </w:r>
            <w:r w:rsidRPr="00072AEA">
              <w:rPr>
                <w:sz w:val="20"/>
                <w:szCs w:val="20"/>
              </w:rPr>
              <w:t> </w:t>
            </w:r>
            <w:r w:rsidRPr="00072AEA">
              <w:rPr>
                <w:sz w:val="20"/>
                <w:szCs w:val="20"/>
                <w:lang w:val="el-GR"/>
              </w:rPr>
              <w:t>40</w:t>
            </w:r>
            <w:r w:rsidRPr="00072AEA">
              <w:rPr>
                <w:sz w:val="20"/>
                <w:szCs w:val="20"/>
              </w:rPr>
              <w:t>kg</w:t>
            </w:r>
            <w:r w:rsidRPr="00072AEA">
              <w:rPr>
                <w:sz w:val="20"/>
                <w:szCs w:val="20"/>
                <w:lang w:val="el-GR"/>
              </w:rPr>
              <w:t xml:space="preserve"> πάνω στη περιστροφική τράπεζα.</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1.2</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b/>
                <w:sz w:val="20"/>
                <w:szCs w:val="20"/>
              </w:rPr>
              <w:t>Χαρακτηριστικά πηγής ακτίνων Χ</w:t>
            </w:r>
          </w:p>
        </w:tc>
      </w:tr>
      <w:tr w:rsidR="00184A38" w:rsidRPr="00072AEA" w:rsidTr="00117A26">
        <w:trPr>
          <w:gridAfter w:val="1"/>
          <w:wAfter w:w="236" w:type="dxa"/>
          <w:trHeight w:val="415"/>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1.2.1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Ύπαρξη μόνιμα σφραγισμένου σωλήνα μικροεστίασης ακτινών-Χ, χωρίς ανάγκη συντήρησης, με ανακλαστικό στόχο βολφραμίου (</w:t>
            </w:r>
            <w:r w:rsidRPr="00072AEA">
              <w:rPr>
                <w:sz w:val="20"/>
                <w:szCs w:val="20"/>
              </w:rPr>
              <w:t>W</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1.2.2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Υποστήριξη μέγιστης τάση ≥ 150 kV.</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1.2.3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Υποστήριξη μέγιστης ισχύος ≥</w:t>
            </w:r>
            <w:r w:rsidRPr="00072AEA">
              <w:rPr>
                <w:sz w:val="20"/>
                <w:szCs w:val="20"/>
              </w:rPr>
              <w:t> </w:t>
            </w:r>
            <w:r w:rsidRPr="00072AEA">
              <w:rPr>
                <w:sz w:val="20"/>
                <w:szCs w:val="20"/>
                <w:lang w:val="el-GR"/>
              </w:rPr>
              <w:t xml:space="preserve">75 </w:t>
            </w:r>
            <w:r w:rsidRPr="00072AEA">
              <w:rPr>
                <w:sz w:val="20"/>
                <w:szCs w:val="20"/>
              </w:rPr>
              <w:t>W</w:t>
            </w:r>
            <w:r w:rsidRPr="00072AEA">
              <w:rPr>
                <w:sz w:val="20"/>
                <w:szCs w:val="20"/>
                <w:lang w:val="el-GR"/>
              </w:rPr>
              <w:t xml:space="preserve"> για σάρωση υψηλής ροής σε περιπτώσεις σάρωσης μεγάλων δειγμάτων, όπου απαιτείται μεγάλη απόσταση πηγής-ανιχνευτή.</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1.2.4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widowControl w:val="0"/>
              <w:ind w:left="0" w:hanging="2"/>
              <w:rPr>
                <w:sz w:val="20"/>
                <w:szCs w:val="20"/>
                <w:lang w:val="el-GR"/>
              </w:rPr>
            </w:pPr>
            <w:r w:rsidRPr="00072AEA">
              <w:rPr>
                <w:sz w:val="20"/>
                <w:szCs w:val="20"/>
                <w:lang w:val="el-GR"/>
              </w:rPr>
              <w:t>Μικρότερο μέγεθος εστιακού σημείου ≤ 5 μ</w:t>
            </w:r>
            <w:r w:rsidRPr="00072AEA">
              <w:rPr>
                <w:sz w:val="20"/>
                <w:szCs w:val="20"/>
              </w:rPr>
              <w:t>m</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1.2.5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Αυτόματος εναλλάκτης φίλτρων με </w:t>
            </w:r>
            <w:r w:rsidRPr="00072AEA">
              <w:rPr>
                <w:b/>
                <w:bCs/>
                <w:sz w:val="20"/>
                <w:szCs w:val="20"/>
                <w:lang w:val="el-GR"/>
              </w:rPr>
              <w:t>≥</w:t>
            </w:r>
            <w:r w:rsidRPr="00072AEA">
              <w:rPr>
                <w:sz w:val="20"/>
                <w:szCs w:val="20"/>
              </w:rPr>
              <w:t> </w:t>
            </w:r>
            <w:r w:rsidRPr="00072AEA">
              <w:rPr>
                <w:sz w:val="20"/>
                <w:szCs w:val="20"/>
                <w:lang w:val="el-GR"/>
              </w:rPr>
              <w:t>12 θέσεις και 8 προ-βαθμονομημένες ρυθμίσεις φίλτρων.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1.3</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Χαρακτηριστικά ανιχνευτή ακτίνων Χ</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lastRenderedPageBreak/>
              <w:t>1.3.1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Εξοπλισμένο με ανιχνευτή επίπεδου πάνελ, ≥</w:t>
            </w:r>
            <w:r w:rsidRPr="00072AEA">
              <w:rPr>
                <w:sz w:val="20"/>
                <w:szCs w:val="20"/>
              </w:rPr>
              <w:t> </w:t>
            </w:r>
            <w:r w:rsidRPr="00072AEA">
              <w:rPr>
                <w:sz w:val="20"/>
                <w:szCs w:val="20"/>
                <w:lang w:val="el-GR"/>
              </w:rPr>
              <w:t xml:space="preserve">13 </w:t>
            </w:r>
            <w:r w:rsidRPr="00072AEA">
              <w:rPr>
                <w:sz w:val="20"/>
                <w:szCs w:val="20"/>
              </w:rPr>
              <w:t>Mpixel</w:t>
            </w:r>
            <w:r w:rsidRPr="00072AEA">
              <w:rPr>
                <w:sz w:val="20"/>
                <w:szCs w:val="20"/>
                <w:lang w:val="el-GR"/>
              </w:rPr>
              <w:t xml:space="preserve"> και ≥</w:t>
            </w:r>
            <w:r w:rsidRPr="00072AEA">
              <w:rPr>
                <w:sz w:val="20"/>
                <w:szCs w:val="20"/>
              </w:rPr>
              <w:t> </w:t>
            </w:r>
            <w:r w:rsidRPr="00072AEA">
              <w:rPr>
                <w:sz w:val="20"/>
                <w:szCs w:val="20"/>
                <w:lang w:val="el-GR"/>
              </w:rPr>
              <w:t xml:space="preserve">5.600 </w:t>
            </w:r>
            <w:r w:rsidRPr="00072AEA">
              <w:rPr>
                <w:sz w:val="20"/>
                <w:szCs w:val="20"/>
              </w:rPr>
              <w:t>pixel</w:t>
            </w:r>
            <w:r w:rsidRPr="00072AEA">
              <w:rPr>
                <w:sz w:val="20"/>
                <w:szCs w:val="20"/>
                <w:lang w:val="el-GR"/>
              </w:rPr>
              <w:t xml:space="preserve"> εις πλάτος.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1.3.2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Σπινθηριστής από Gadolinium Oxysulfide (GADOX).</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1.3.3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Παροχή προστασίας από την ακτινοβολία μέσω θωράκισης οπτικών ινών και ηλεκτρονικής θωράκισης για εξασφάλιση μεγάλης διάρκειας ζωής του ανιχνευτή.</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1.3.4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Υποστήριξη σάρωσης </w:t>
            </w:r>
            <w:r w:rsidRPr="00072AEA">
              <w:rPr>
                <w:sz w:val="20"/>
                <w:szCs w:val="20"/>
              </w:rPr>
              <w:t>offset</w:t>
            </w:r>
            <w:r w:rsidRPr="00072AEA">
              <w:rPr>
                <w:sz w:val="20"/>
                <w:szCs w:val="20"/>
                <w:lang w:val="el-GR"/>
              </w:rPr>
              <w:t xml:space="preserve"> για αντικείμενα με διάμετρο ≤ 290</w:t>
            </w:r>
            <w:r w:rsidRPr="00072AEA">
              <w:rPr>
                <w:sz w:val="20"/>
                <w:szCs w:val="20"/>
              </w:rPr>
              <w:t>mm</w:t>
            </w:r>
            <w:r w:rsidRPr="00072AEA">
              <w:rPr>
                <w:sz w:val="20"/>
                <w:szCs w:val="20"/>
                <w:lang w:val="el-GR"/>
              </w:rPr>
              <w:t xml:space="preserve">, διατηρώντας μικρό μέγεθος </w:t>
            </w:r>
            <w:r w:rsidRPr="00072AEA">
              <w:rPr>
                <w:sz w:val="20"/>
                <w:szCs w:val="20"/>
              </w:rPr>
              <w:t>pixel</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1.4</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Χαρακτηριστικά επιτραπέζιου υπολογιστή (server)</w:t>
            </w:r>
          </w:p>
        </w:tc>
        <w:tc>
          <w:tcPr>
            <w:tcW w:w="236" w:type="dxa"/>
            <w:vAlign w:val="center"/>
          </w:tcPr>
          <w:p w:rsidR="00184A38" w:rsidRPr="00072AEA" w:rsidRDefault="00184A38" w:rsidP="00117A26">
            <w:pPr>
              <w:spacing w:after="0" w:line="240" w:lineRule="auto"/>
              <w:ind w:leftChars="0" w:left="0" w:firstLineChars="0" w:firstLine="0"/>
              <w:jc w:val="left"/>
              <w:textDirection w:val="lrTb"/>
              <w:textAlignment w:val="auto"/>
              <w:outlineLvl w:val="9"/>
              <w:rPr>
                <w:b/>
              </w:rPr>
            </w:pPr>
            <w:r w:rsidRPr="00072AEA">
              <w:rPr>
                <w:b/>
                <w:sz w:val="20"/>
                <w:szCs w:val="20"/>
              </w:rPr>
              <w:t xml:space="preserve">                        </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1.4.1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Επεξεργαστής: Intel XEON processor, 18 cores, 3.2 / 4.8 GHz.</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n-US"/>
              </w:rPr>
            </w:pPr>
            <w:r w:rsidRPr="00072AEA">
              <w:rPr>
                <w:sz w:val="20"/>
                <w:szCs w:val="20"/>
              </w:rPr>
              <w:t>1.4.2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Κάρτα γραφικών: NVIDIA 20GB.</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n-US"/>
              </w:rPr>
            </w:pPr>
            <w:r w:rsidRPr="00072AEA">
              <w:rPr>
                <w:sz w:val="20"/>
                <w:szCs w:val="20"/>
              </w:rPr>
              <w:t>1.4.3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Προσωρινή μνήμη: 128</w:t>
            </w:r>
            <w:r w:rsidRPr="00072AEA">
              <w:rPr>
                <w:sz w:val="20"/>
                <w:szCs w:val="20"/>
              </w:rPr>
              <w:t>GB</w:t>
            </w:r>
            <w:r w:rsidRPr="00072AEA">
              <w:rPr>
                <w:sz w:val="20"/>
                <w:szCs w:val="20"/>
                <w:lang w:val="el-GR"/>
              </w:rPr>
              <w:t xml:space="preserve"> </w:t>
            </w:r>
            <w:r w:rsidRPr="00072AEA">
              <w:rPr>
                <w:sz w:val="20"/>
                <w:szCs w:val="20"/>
              </w:rPr>
              <w:t>DDR</w:t>
            </w:r>
            <w:r w:rsidRPr="00072AEA">
              <w:rPr>
                <w:sz w:val="20"/>
                <w:szCs w:val="20"/>
                <w:lang w:val="el-GR"/>
              </w:rPr>
              <w:t xml:space="preserve">5 </w:t>
            </w:r>
            <w:r w:rsidRPr="00072AEA">
              <w:rPr>
                <w:sz w:val="20"/>
                <w:szCs w:val="20"/>
              </w:rPr>
              <w:t>RAM</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1.4.4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Σκληρός δίσκος: 1TB Solid State Drive for OS and programs.</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n-US"/>
              </w:rPr>
            </w:pPr>
            <w:r w:rsidRPr="00072AEA">
              <w:rPr>
                <w:sz w:val="20"/>
                <w:szCs w:val="20"/>
              </w:rPr>
              <w:t>1.4.5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Δεύτερος σκληρός δίσκος: 12</w:t>
            </w:r>
            <w:r w:rsidRPr="00072AEA">
              <w:rPr>
                <w:sz w:val="20"/>
                <w:szCs w:val="20"/>
              </w:rPr>
              <w:t>TB</w:t>
            </w:r>
            <w:r w:rsidRPr="00072AEA">
              <w:rPr>
                <w:sz w:val="20"/>
                <w:szCs w:val="20"/>
                <w:lang w:val="el-GR"/>
              </w:rPr>
              <w:t xml:space="preserve"> </w:t>
            </w:r>
            <w:r w:rsidRPr="00072AEA">
              <w:rPr>
                <w:sz w:val="20"/>
                <w:szCs w:val="20"/>
              </w:rPr>
              <w:t>SATA</w:t>
            </w:r>
            <w:r w:rsidRPr="00072AEA">
              <w:rPr>
                <w:sz w:val="20"/>
                <w:szCs w:val="20"/>
                <w:lang w:val="el-GR"/>
              </w:rPr>
              <w:t xml:space="preserve"> </w:t>
            </w:r>
            <w:r w:rsidRPr="00072AEA">
              <w:rPr>
                <w:sz w:val="20"/>
                <w:szCs w:val="20"/>
              </w:rPr>
              <w:t>HDD</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1.4.6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Σύνδεση δικτύου: 1Gb and 10Gb integrated network connections.</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n-US"/>
              </w:rPr>
            </w:pPr>
            <w:r w:rsidRPr="00072AEA">
              <w:rPr>
                <w:sz w:val="20"/>
                <w:szCs w:val="20"/>
              </w:rPr>
              <w:t>1.4.7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Περιφερειακά: </w:t>
            </w:r>
            <w:r w:rsidRPr="00072AEA">
              <w:rPr>
                <w:sz w:val="20"/>
                <w:szCs w:val="20"/>
              </w:rPr>
              <w:t>QWERTY</w:t>
            </w:r>
            <w:r w:rsidRPr="00072AEA">
              <w:rPr>
                <w:sz w:val="20"/>
                <w:szCs w:val="20"/>
                <w:lang w:val="el-GR"/>
              </w:rPr>
              <w:t xml:space="preserve"> πληκτρολόγιο, ασύρματο ποντίκι.</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1.4.8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 xml:space="preserve">Οθόνη: 34-inch Ultra-Wide Curved LCD </w:t>
            </w:r>
            <w:r w:rsidRPr="00072AEA">
              <w:rPr>
                <w:sz w:val="20"/>
                <w:szCs w:val="20"/>
              </w:rPr>
              <w:t>με</w:t>
            </w:r>
            <w:r w:rsidRPr="00072AEA">
              <w:rPr>
                <w:sz w:val="20"/>
                <w:szCs w:val="20"/>
                <w:lang w:val="en-US"/>
              </w:rPr>
              <w:t xml:space="preserve"> ανάλυση: 3440x1440 px.</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n-US"/>
              </w:rPr>
            </w:pPr>
            <w:r w:rsidRPr="00072AEA">
              <w:rPr>
                <w:sz w:val="20"/>
                <w:szCs w:val="20"/>
              </w:rPr>
              <w:t>1.4.9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Λογισμικό: Windows 11.</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1.</w:t>
            </w:r>
            <w:r w:rsidRPr="00072AEA">
              <w:rPr>
                <w:b/>
                <w:sz w:val="20"/>
                <w:szCs w:val="20"/>
                <w:lang w:val="el-GR"/>
              </w:rPr>
              <w:t>5</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Λογισμικά</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w:t>
            </w:r>
            <w:r w:rsidRPr="00072AEA">
              <w:rPr>
                <w:b/>
                <w:sz w:val="20"/>
                <w:szCs w:val="20"/>
                <w:lang w:val="el-GR"/>
              </w:rPr>
              <w:t>5</w:t>
            </w:r>
            <w:r w:rsidRPr="00072AEA">
              <w:rPr>
                <w:b/>
                <w:sz w:val="20"/>
                <w:szCs w:val="20"/>
              </w:rPr>
              <w:t>.1</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Γενικά χαρακτηριστικά λογισμικών</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Να περιλαμβάνει λογισμικό για σάρωση, ανασυγκρότηση, 2</w:t>
            </w:r>
            <w:r w:rsidRPr="00072AEA">
              <w:rPr>
                <w:sz w:val="20"/>
                <w:szCs w:val="20"/>
              </w:rPr>
              <w:t>D</w:t>
            </w:r>
            <w:r w:rsidRPr="00072AEA">
              <w:rPr>
                <w:sz w:val="20"/>
                <w:szCs w:val="20"/>
                <w:lang w:val="el-GR"/>
              </w:rPr>
              <w:t>/3</w:t>
            </w:r>
            <w:r w:rsidRPr="00072AEA">
              <w:rPr>
                <w:sz w:val="20"/>
                <w:szCs w:val="20"/>
              </w:rPr>
              <w:t>D</w:t>
            </w:r>
            <w:r w:rsidRPr="00072AEA">
              <w:rPr>
                <w:sz w:val="20"/>
                <w:szCs w:val="20"/>
                <w:lang w:val="el-GR"/>
              </w:rPr>
              <w:t xml:space="preserve"> απεικόνιση και τρισδιάστατη ανάλυση εικόνας.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.1.2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Τα λογισμικά να είναι τελευταίας έκδοσης και να παρέχονται με αέναη άδεια χρήσης για απεριόριστα αντίτυπα για χρήση σε διαφορετικούς υπολογιστές.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.1.3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Να περιλαμβάνονται δωρεάν αναβαθμίσεις λογισμικού.</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.1.4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Υποστήριξη αλγόριθμων ανάκτησης αντίθεσης φάσης (π.χ. μέθοδος </w:t>
            </w:r>
            <w:r w:rsidRPr="00072AEA">
              <w:rPr>
                <w:sz w:val="20"/>
                <w:szCs w:val="20"/>
              </w:rPr>
              <w:t>Paganin</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lastRenderedPageBreak/>
              <w:t>1.</w:t>
            </w:r>
            <w:r w:rsidRPr="00072AEA">
              <w:rPr>
                <w:b/>
                <w:sz w:val="20"/>
                <w:szCs w:val="20"/>
                <w:lang w:val="el-GR"/>
              </w:rPr>
              <w:t>5</w:t>
            </w:r>
            <w:r w:rsidRPr="00072AEA">
              <w:rPr>
                <w:b/>
                <w:sz w:val="20"/>
                <w:szCs w:val="20"/>
              </w:rPr>
              <w:t>.2</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Χαρακτηριστικά λογισμικού σάρωσης</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Δυνατότητα αρχικοποίησης του σαρωτή.</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Παροχή πρόσβασης στον θάλαμο των δειγμάτων για εγκατάσταση ή αντικατάσταση αντικειμένων.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ενεργοποίησης/απενεργοποίησης της πηγής ακτίνων Χ.</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χειροκίνητης ή αυτόματης ρύθμισης των παραμέτρους της πηγής και του φίλτρου.</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συλλογής της εικόνα από τον ανιχνευτή ακτίνων Χ και εκτέλεσης όλων των διορθώσεων εικόνας, συμπεριλαμβανομένης της ενεργής εξάλειψης αντικειμένων.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αποθήκευσης / φόρτωσης μεμονωμένης εικόνας ή ακολουθίας εικόνων κατά την περιστροφή του αντικειμένου, κατά μήκος μιας κυκλικής ή ελικοειδούς τροχιάς, για την ακόλουθη τομογραφική ανασυγκρότηση.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ρύθμισης θέσης του αντικειμένου και μεγέθυνσης της εικόνας.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εμφάνισης οπτικής εικόνας του αντικειμένου, εντός του θαλάμου δειγμάτων, χρησιμοποιώντας εσωτερική έγχρωμη οπτική κάμερα.</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εκτέλεσης όλων των διαδικασιών βαθμονόμησης και ορισμού/εφαρμογής των ρυθμίσεων του συστήματος.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.2.10</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αποθήκευσης ενός πλήρους συνόλου ρυθμίσεων, ως διαμόρφωση χρήστη, για την επαναφορά της ρύθμισης του συστήματος για μια συγκεκριμένη μελέτη.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μέτρησης των διαστάσεων του αντικειμένου από τον χρήστη και να εμφάνισης προφίλ έντασης στην οθόνη με το κλικ του ποντικιού.</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τοποθέτησης του αντικειμένου στον θάλαμο του δείγματος, σύροντας την εικόνα με το ποντίκι στην οθόνη ή με αριθμητικές τιμές για το μέγεθος του εικονοστοιχείου, τη γωνία περιστροφής και την ανύψωση.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σάρωσης μεγάλων αντικειμένων με αυτόματη εκτέλεση πολλαπλών μερικών σαρώσεων, συνδεόμενες σε ένα ενιαίο σύνολο εικονικών τομών μέσω του αντικειμένου κατά την ακόλουθη ανασυγκρότηση.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lastRenderedPageBreak/>
              <w:t>1.</w:t>
            </w:r>
            <w:r w:rsidRPr="00072AEA">
              <w:rPr>
                <w:sz w:val="20"/>
                <w:szCs w:val="20"/>
                <w:lang w:val="el-GR"/>
              </w:rPr>
              <w:t>5</w:t>
            </w:r>
            <w:r w:rsidRPr="00072AEA">
              <w:rPr>
                <w:sz w:val="20"/>
                <w:szCs w:val="20"/>
              </w:rPr>
              <w:t>.2.14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Να περιλαμβάνει εντατική παρακολούθηση του συστήματος με μετρήσεις της ταχύτητας περιστροφής και των τεσσάρων εσωτερικών ανεμιστήρων ψύξης.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μέτρησης της θερμοκρασίας ψύξης του αισθητήρα απεικόνισης στο εσωτερικό του ανιχνευτή ακτίνων-Χ.</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.2.16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ανάγνωσης των παραμέτρων και του χρόνου λειτουργίας της πηγής ακτίνων-Χ, των τάσεων τροφοδοσίας για όλα τα βασικά εξαρτήματα, κ.λπ. για εξ αποστάσεως διάγνωση.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w:t>
            </w:r>
            <w:r w:rsidRPr="00072AEA">
              <w:rPr>
                <w:b/>
                <w:sz w:val="20"/>
                <w:szCs w:val="20"/>
                <w:lang w:val="el-GR"/>
              </w:rPr>
              <w:t>5</w:t>
            </w:r>
            <w:r w:rsidRPr="00072AEA">
              <w:rPr>
                <w:b/>
                <w:sz w:val="20"/>
                <w:szCs w:val="20"/>
              </w:rPr>
              <w:t>.3</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Χαρακτηριστικά λογισμικού ανασυγκρότησης</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μετατροπής ενός συνόλου δισδιάστατων εικόνων του αντικειμένου, που αποκτήθηκαν κατά τη σάρωση με διάφορες τροχιές σάρωσης, σε μια στοίβα εικονικών τομών του αντικειμένου, για τη μη καταστροφική αποκάλυψη της εσωτερικής μικροδομής του.</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ανασυγκρότησης από το χειριστή οποιασδήποτε μεμονωμένης, πολλαπλής ή του συνόλου των εικονικών τομών μέσω του αντικειμένου.</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Χειροκίνητη ή αυτόματη επιλογή κλίμακας του γκρι για όλες τις προκύπτουσες διατομές.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εκτέλεσης αυτόματης διόρθωσης της προβληματικής ευθυγράμμισης.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Εφαρμογή εξομάλυνσης για μείωση θορύβου στις ανακατασκευασμένες τομές.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προσθήκης «διόρθωσης σκλήρυνσης δέσμης» για αντιστάθμιση της επίδρασης της διαφορετικής απορρόφησης για διαφορετικές ενέργειες ακτίνων Χ στην πολυχρωματική πρωτογενή δέσμη.</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Εφαρμογή διόρθωσης αντικειμένων δακτυλίου.</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Εφαρμογή ανασυγκρότησης με επιλεγμένη γωνία περιστροφής τομής και ανακατασκευής αντικειμένων μεγαλύτερων από το οπτικό πεδίο.</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Αποθήκευση με συμβατικές μορφές εικόνας, όπως 16-</w:t>
            </w:r>
            <w:r w:rsidRPr="00072AEA">
              <w:rPr>
                <w:sz w:val="20"/>
                <w:szCs w:val="20"/>
              </w:rPr>
              <w:t>bit</w:t>
            </w:r>
            <w:r w:rsidRPr="00072AEA">
              <w:rPr>
                <w:sz w:val="20"/>
                <w:szCs w:val="20"/>
                <w:lang w:val="el-GR"/>
              </w:rPr>
              <w:t xml:space="preserve"> </w:t>
            </w:r>
            <w:r w:rsidRPr="00072AEA">
              <w:rPr>
                <w:sz w:val="20"/>
                <w:szCs w:val="20"/>
              </w:rPr>
              <w:t>TIFF</w:t>
            </w:r>
            <w:r w:rsidRPr="00072AEA">
              <w:rPr>
                <w:sz w:val="20"/>
                <w:szCs w:val="20"/>
                <w:lang w:val="el-GR"/>
              </w:rPr>
              <w:t>, 8-</w:t>
            </w:r>
            <w:r w:rsidRPr="00072AEA">
              <w:rPr>
                <w:sz w:val="20"/>
                <w:szCs w:val="20"/>
              </w:rPr>
              <w:t>bit</w:t>
            </w:r>
            <w:r w:rsidRPr="00072AEA">
              <w:rPr>
                <w:sz w:val="20"/>
                <w:szCs w:val="20"/>
                <w:lang w:val="el-GR"/>
              </w:rPr>
              <w:t xml:space="preserve"> </w:t>
            </w:r>
            <w:r w:rsidRPr="00072AEA">
              <w:rPr>
                <w:sz w:val="20"/>
                <w:szCs w:val="20"/>
              </w:rPr>
              <w:t>BMP</w:t>
            </w:r>
            <w:r w:rsidRPr="00072AEA">
              <w:rPr>
                <w:sz w:val="20"/>
                <w:szCs w:val="20"/>
                <w:lang w:val="el-GR"/>
              </w:rPr>
              <w:t xml:space="preserve">, </w:t>
            </w:r>
            <w:r w:rsidRPr="00072AEA">
              <w:rPr>
                <w:sz w:val="20"/>
                <w:szCs w:val="20"/>
              </w:rPr>
              <w:t>JPG</w:t>
            </w:r>
            <w:r w:rsidRPr="00072AEA">
              <w:rPr>
                <w:sz w:val="20"/>
                <w:szCs w:val="20"/>
                <w:lang w:val="el-GR"/>
              </w:rPr>
              <w:t xml:space="preserve"> ή </w:t>
            </w:r>
            <w:r w:rsidRPr="00072AEA">
              <w:rPr>
                <w:sz w:val="20"/>
                <w:szCs w:val="20"/>
              </w:rPr>
              <w:t>PNG</w:t>
            </w:r>
            <w:r w:rsidRPr="00072AEA">
              <w:rPr>
                <w:sz w:val="20"/>
                <w:szCs w:val="20"/>
                <w:lang w:val="el-GR"/>
              </w:rPr>
              <w:t>, 16-</w:t>
            </w:r>
            <w:r w:rsidRPr="00072AEA">
              <w:rPr>
                <w:sz w:val="20"/>
                <w:szCs w:val="20"/>
              </w:rPr>
              <w:t>bit</w:t>
            </w:r>
            <w:r w:rsidRPr="00072AEA">
              <w:rPr>
                <w:sz w:val="20"/>
                <w:szCs w:val="20"/>
                <w:lang w:val="el-GR"/>
              </w:rPr>
              <w:t xml:space="preserve"> </w:t>
            </w:r>
            <w:r w:rsidRPr="00072AEA">
              <w:rPr>
                <w:sz w:val="20"/>
                <w:szCs w:val="20"/>
              </w:rPr>
              <w:t>DICOM</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.3.10</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ανασυγκρότησης σε πλήρη όγκο σάρωσης ή επιλεγμένη περιοχή ενδιαφέροντος, με τετράγωνο, ορθογώνιο, κυκλικό ή ελλειπτικό σχήμα, επιλογής, σε μέγεθος και θέση, του χειριστή.</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lastRenderedPageBreak/>
              <w:t>1.</w:t>
            </w:r>
            <w:r w:rsidRPr="00072AEA">
              <w:rPr>
                <w:sz w:val="20"/>
                <w:szCs w:val="20"/>
                <w:lang w:val="el-GR"/>
              </w:rPr>
              <w:t>5</w:t>
            </w:r>
            <w:r w:rsidRPr="00072AEA">
              <w:rPr>
                <w:sz w:val="20"/>
                <w:szCs w:val="20"/>
              </w:rPr>
              <w:t>.3.11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Επιλογή αποθήκευσης των ανασυγκροτημένων τομών σε τοπική ή απομακρυσμένη (δικτυακή) θέση, με δυνατότητα αυτόματης δημιουργίας υποφακέλων με αυξητικά ονόματα και προσθήκη αυξητικών επιθέτων στα ονόματα του συνόλου των διατομών που προκύπτουν.</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w:t>
            </w:r>
            <w:r w:rsidRPr="00072AEA">
              <w:rPr>
                <w:b/>
                <w:sz w:val="20"/>
                <w:szCs w:val="20"/>
                <w:lang w:val="el-GR"/>
              </w:rPr>
              <w:t>5</w:t>
            </w:r>
            <w:r w:rsidRPr="00072AEA">
              <w:rPr>
                <w:b/>
                <w:sz w:val="20"/>
                <w:szCs w:val="20"/>
              </w:rPr>
              <w:t>.4</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lang w:val="el-GR"/>
              </w:rPr>
            </w:pPr>
            <w:r w:rsidRPr="00072AEA">
              <w:rPr>
                <w:b/>
                <w:sz w:val="20"/>
                <w:szCs w:val="20"/>
                <w:lang w:val="el-GR"/>
              </w:rPr>
              <w:t>Χαρακτηριστικά λογισμικού οπτικοποίησης 2</w:t>
            </w:r>
            <w:r w:rsidRPr="00072AEA">
              <w:rPr>
                <w:b/>
                <w:sz w:val="20"/>
                <w:szCs w:val="20"/>
              </w:rPr>
              <w:t>D</w:t>
            </w:r>
            <w:r w:rsidRPr="00072AEA">
              <w:rPr>
                <w:b/>
                <w:sz w:val="20"/>
                <w:szCs w:val="20"/>
                <w:lang w:val="el-GR"/>
              </w:rPr>
              <w:t>/3</w:t>
            </w:r>
            <w:r w:rsidRPr="00072AEA">
              <w:rPr>
                <w:b/>
                <w:sz w:val="20"/>
                <w:szCs w:val="20"/>
              </w:rPr>
              <w:t>D</w:t>
            </w:r>
            <w:r w:rsidRPr="00072AEA">
              <w:rPr>
                <w:b/>
                <w:sz w:val="20"/>
                <w:szCs w:val="20"/>
                <w:lang w:val="el-GR"/>
              </w:rPr>
              <w:t xml:space="preserve"> απεικόνισης και τρισδιάστατης ανάλυσης εικόνας με λειτουργία επεξεργασίας</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Λειτουργία με δισδιάστατες εικόνες ή απόδοση όγκου για ρεαλιστική απεικόνιση της πλήρους τρισδιάστατης δομής.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δισδιάστατης απεικόνισης των ανακατασκευασμένων αποτελεσμάτων είτε ως διαδοχικές τομές σε μορφή βίντεο, είτε ως τρεις ορθογώνιες τομές που διασταυρώνονται σε οποιοδήποτε σημείο του ανακατασκευασμένου όγκου.</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Επιλογή οποιασδήποτε θέσης του σημείου διασταύρωσης, περιστροφής του ανακατασκευασμένου όγκου γύρω από οποιονδήποτε άξονα και ρύθμισης των επιπέδων της κλίμακας του γκρι του εμφανιζόμενου εύρους απορρόφησης.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αποθήκευσης ενός νέου συνόλου δεδομένων με τρισδιάστατη περιστροφή, αλλαγμένο άξονα περιστροφής ή φιλτράρισμα που εφαρμόζεται σε αυτό.</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μέτρησης αποστάσεων σε 3</w:t>
            </w:r>
            <w:r w:rsidRPr="00072AEA">
              <w:rPr>
                <w:sz w:val="20"/>
                <w:szCs w:val="20"/>
              </w:rPr>
              <w:t>D</w:t>
            </w:r>
            <w:r w:rsidRPr="00072AEA">
              <w:rPr>
                <w:sz w:val="20"/>
                <w:szCs w:val="20"/>
                <w:lang w:val="el-GR"/>
              </w:rPr>
              <w:t xml:space="preserve"> μεταξύ οποιωνδήποτε 2 σημείων σε οποιαδήποτε επίπεδα εντός του 3</w:t>
            </w:r>
            <w:r w:rsidRPr="00072AEA">
              <w:rPr>
                <w:sz w:val="20"/>
                <w:szCs w:val="20"/>
              </w:rPr>
              <w:t>D</w:t>
            </w:r>
            <w:r w:rsidRPr="00072AEA">
              <w:rPr>
                <w:sz w:val="20"/>
                <w:szCs w:val="20"/>
                <w:lang w:val="el-GR"/>
              </w:rPr>
              <w:t xml:space="preserve"> όγκου και προσθήκης ετικετών για τις μετρήσεις.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Λειτουργία απόδοσης όγκου, όπου θα είναι εμφανές πλήρως ένα ανακατασκευασμένο αντικείμενο ως μια ρεαλιστική τρισδιάστατη εικόνα με δυνατότητα μεγέθυνσης και σμίκρυνσης, περιστροφής, εικονικής κοπής, χειρισμού ενός κύβου αποκοπής και του όγκου του αντικειμένου χωριστά ή μαζί, επιλογής χρωμάτων και καμπυλών διαφάνειας, προσθήκης φωτισμού με ελεγχόμενη κατεύθυνση και χρώμα, ρύθμισης της γωνίας θέασης.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widowControl w:val="0"/>
              <w:ind w:left="0" w:hanging="2"/>
              <w:rPr>
                <w:sz w:val="20"/>
                <w:szCs w:val="20"/>
                <w:lang w:val="el-GR"/>
              </w:rPr>
            </w:pPr>
            <w:r w:rsidRPr="00072AEA">
              <w:rPr>
                <w:sz w:val="20"/>
                <w:szCs w:val="20"/>
                <w:lang w:val="el-GR"/>
              </w:rPr>
              <w:t xml:space="preserve">Να φέρει ενσωματωμένο «δημιουργό </w:t>
            </w:r>
            <w:r w:rsidRPr="00072AEA">
              <w:rPr>
                <w:sz w:val="20"/>
                <w:szCs w:val="20"/>
              </w:rPr>
              <w:t>video</w:t>
            </w:r>
            <w:r w:rsidRPr="00072AEA">
              <w:rPr>
                <w:sz w:val="20"/>
                <w:szCs w:val="20"/>
                <w:lang w:val="el-GR"/>
              </w:rPr>
              <w:t xml:space="preserve">» για τη δημιουργία </w:t>
            </w:r>
            <w:r w:rsidRPr="00072AEA">
              <w:rPr>
                <w:sz w:val="20"/>
                <w:szCs w:val="20"/>
              </w:rPr>
              <w:t>video</w:t>
            </w:r>
            <w:r w:rsidRPr="00072AEA">
              <w:rPr>
                <w:sz w:val="20"/>
                <w:szCs w:val="20"/>
                <w:lang w:val="el-GR"/>
              </w:rPr>
              <w:t xml:space="preserve"> με πτήσεις γύρω ή μέσα στο αντικείμενο με απλή επιλογή πολλών καρέ-κλειδιών με ακόλουθη αυτόματη παρεμβολή μιας τροχιάς πτήσης και όλων των ιδιοτήτων χρώματος / διαφάνειας / φωτισμού για όλα τα ενδιάμεσα καρέ.</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αποθήκευσης τ</w:t>
            </w:r>
            <w:r w:rsidRPr="00072AEA">
              <w:rPr>
                <w:sz w:val="20"/>
                <w:szCs w:val="20"/>
              </w:rPr>
              <w:t>o</w:t>
            </w:r>
            <w:r w:rsidRPr="00072AEA">
              <w:rPr>
                <w:sz w:val="20"/>
                <w:szCs w:val="20"/>
                <w:lang w:val="el-GR"/>
              </w:rPr>
              <w:t xml:space="preserve">υ τελικού </w:t>
            </w:r>
            <w:r w:rsidRPr="00072AEA">
              <w:rPr>
                <w:sz w:val="20"/>
                <w:szCs w:val="20"/>
              </w:rPr>
              <w:t>video</w:t>
            </w:r>
            <w:r w:rsidRPr="00072AEA">
              <w:rPr>
                <w:sz w:val="20"/>
                <w:szCs w:val="20"/>
                <w:lang w:val="el-GR"/>
              </w:rPr>
              <w:t xml:space="preserve">, με τον επιλεγμένο ρυθμό καρέ, σε ένα συμπιεσμένο αρχείο </w:t>
            </w:r>
            <w:r w:rsidRPr="00072AEA">
              <w:rPr>
                <w:sz w:val="20"/>
                <w:szCs w:val="20"/>
              </w:rPr>
              <w:t>MP</w:t>
            </w:r>
            <w:r w:rsidRPr="00072AEA">
              <w:rPr>
                <w:sz w:val="20"/>
                <w:szCs w:val="20"/>
                <w:lang w:val="el-GR"/>
              </w:rPr>
              <w:t xml:space="preserve">4, το οποίο να μπορεί να αναπαραχθεί χρησιμοποιώντας οποιοδήποτε πρόγραμμα αναπαραγωγής ενσωματωμένο στα </w:t>
            </w:r>
            <w:r w:rsidRPr="00072AEA">
              <w:rPr>
                <w:sz w:val="20"/>
                <w:szCs w:val="20"/>
              </w:rPr>
              <w:t>Windows</w:t>
            </w:r>
            <w:r w:rsidRPr="00072AEA">
              <w:rPr>
                <w:sz w:val="20"/>
                <w:szCs w:val="20"/>
                <w:lang w:val="el-GR"/>
              </w:rPr>
              <w:t xml:space="preserve"> και </w:t>
            </w:r>
            <w:r w:rsidRPr="00072AEA">
              <w:rPr>
                <w:sz w:val="20"/>
                <w:szCs w:val="20"/>
              </w:rPr>
              <w:t>MAC</w:t>
            </w:r>
            <w:r w:rsidRPr="00072AEA">
              <w:rPr>
                <w:sz w:val="20"/>
                <w:szCs w:val="20"/>
                <w:lang w:val="el-GR"/>
              </w:rPr>
              <w:t xml:space="preserve">. Οι εικόνες να αποθηκεύονται ως αρχείο </w:t>
            </w:r>
            <w:r w:rsidRPr="00072AEA">
              <w:rPr>
                <w:sz w:val="20"/>
                <w:szCs w:val="20"/>
              </w:rPr>
              <w:t>BMP</w:t>
            </w:r>
            <w:r w:rsidRPr="00072AEA">
              <w:rPr>
                <w:sz w:val="20"/>
                <w:szCs w:val="20"/>
                <w:lang w:val="el-GR"/>
              </w:rPr>
              <w:t xml:space="preserve">, </w:t>
            </w:r>
            <w:r w:rsidRPr="00072AEA">
              <w:rPr>
                <w:sz w:val="20"/>
                <w:szCs w:val="20"/>
              </w:rPr>
              <w:t>JPG</w:t>
            </w:r>
            <w:r w:rsidRPr="00072AEA">
              <w:rPr>
                <w:sz w:val="20"/>
                <w:szCs w:val="20"/>
                <w:lang w:val="el-GR"/>
              </w:rPr>
              <w:t xml:space="preserve"> ή </w:t>
            </w:r>
            <w:r w:rsidRPr="00072AEA">
              <w:rPr>
                <w:sz w:val="20"/>
                <w:szCs w:val="20"/>
              </w:rPr>
              <w:t>PNG</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lastRenderedPageBreak/>
              <w:t>1.</w:t>
            </w:r>
            <w:r w:rsidRPr="00072AEA">
              <w:rPr>
                <w:sz w:val="20"/>
                <w:szCs w:val="20"/>
                <w:lang w:val="el-GR"/>
              </w:rPr>
              <w:t>5</w:t>
            </w:r>
            <w:r w:rsidRPr="00072AEA">
              <w:rPr>
                <w:sz w:val="20"/>
                <w:szCs w:val="20"/>
              </w:rPr>
              <w:t>.4.9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βελτίωσης των ανακατασκευασμένων μοντέλων με αποθορυβοποίηση, εξομάλυνση ή όξυνση.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.4.10</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Λειτουργία </w:t>
            </w:r>
            <w:r w:rsidRPr="00072AEA">
              <w:rPr>
                <w:sz w:val="20"/>
                <w:szCs w:val="20"/>
              </w:rPr>
              <w:t>Fiber</w:t>
            </w:r>
            <w:r w:rsidRPr="00072AEA">
              <w:rPr>
                <w:sz w:val="20"/>
                <w:szCs w:val="20"/>
                <w:lang w:val="el-GR"/>
              </w:rPr>
              <w:t xml:space="preserve"> </w:t>
            </w:r>
            <w:r w:rsidRPr="00072AEA">
              <w:rPr>
                <w:sz w:val="20"/>
                <w:szCs w:val="20"/>
              </w:rPr>
              <w:t>Orientation</w:t>
            </w:r>
            <w:r w:rsidRPr="00072AEA">
              <w:rPr>
                <w:sz w:val="20"/>
                <w:szCs w:val="20"/>
                <w:lang w:val="el-GR"/>
              </w:rPr>
              <w:t xml:space="preserve"> (Προσανατολισμός ινών), το οποίο να αναλύει τον γωνιακό προσανατολισμό σε κάθε σημείο κάθε ίνας χωρίς την ανάγκη δυαδικοποίησης της εικόνας και να δημιουργεί μια χρωματικά κωδικοποιημένη αναπαράσταση των προσανατολισμών που να μπορεί να χρησιμοποιηθεί για την απόδοση τρισδιάστατου όγκου.</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τμηματοποίησης των ανασυγκροτημένων τομών σε δυαδική εικόνα για την μορφολογική ανάλυση των πόρων ή των σωματιδίων.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ευέλικτου και διαισθητικού σχεδιασμού όγκου ενδιαφέροντος, μέσω ελλειπτικών, ορθογώνιων, χειροποίητων σχημάτων ή συνδυασμού αυτών και ορισμού του σε πολλές εικονικές τομές.</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48"/>
                <w:szCs w:val="48"/>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παρεμβολής όλων των επιλεγμένων σχημάτων σε ενδιάμεσες τομές και υποστήριξη ποικιλίας μορφολογικών λειτουργιών, όπως διάβρωση, διαστολή, απεικόνιση, διατήρηση του μεγαλύτερου αντικειμένου κ.ά.</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Ανάλυση εικόνας 2</w:t>
            </w:r>
            <w:r w:rsidRPr="00072AEA">
              <w:rPr>
                <w:sz w:val="20"/>
                <w:szCs w:val="20"/>
              </w:rPr>
              <w:t>D</w:t>
            </w:r>
            <w:r w:rsidRPr="00072AEA">
              <w:rPr>
                <w:sz w:val="20"/>
                <w:szCs w:val="20"/>
                <w:lang w:val="el-GR"/>
              </w:rPr>
              <w:t>/3</w:t>
            </w:r>
            <w:r w:rsidRPr="00072AEA">
              <w:rPr>
                <w:sz w:val="20"/>
                <w:szCs w:val="20"/>
              </w:rPr>
              <w:t>D</w:t>
            </w:r>
            <w:r w:rsidRPr="00072AEA">
              <w:rPr>
                <w:sz w:val="20"/>
                <w:szCs w:val="20"/>
                <w:lang w:val="el-GR"/>
              </w:rPr>
              <w:t xml:space="preserve"> με επιτάχυνση </w:t>
            </w:r>
            <w:r w:rsidRPr="00072AEA">
              <w:rPr>
                <w:sz w:val="20"/>
                <w:szCs w:val="20"/>
              </w:rPr>
              <w:t>GPU</w:t>
            </w:r>
            <w:r w:rsidRPr="00072AEA">
              <w:rPr>
                <w:sz w:val="20"/>
                <w:szCs w:val="20"/>
                <w:lang w:val="el-GR"/>
              </w:rPr>
              <w:t xml:space="preserve">, επιτρέποντας την ανάλυση της πυκνότητας πλήρων όγκων ή όγκων ενδιαφέροντος, με δυνατότητα βαθμονόμησης σε μονάδες </w:t>
            </w:r>
            <w:r w:rsidRPr="00072AEA">
              <w:rPr>
                <w:sz w:val="20"/>
                <w:szCs w:val="20"/>
              </w:rPr>
              <w:t>Hounsfield</w:t>
            </w:r>
            <w:r w:rsidRPr="00072AEA">
              <w:rPr>
                <w:sz w:val="20"/>
                <w:szCs w:val="20"/>
                <w:lang w:val="el-GR"/>
              </w:rPr>
              <w:t xml:space="preserve"> (</w:t>
            </w:r>
            <w:r w:rsidRPr="00072AEA">
              <w:rPr>
                <w:sz w:val="20"/>
                <w:szCs w:val="20"/>
              </w:rPr>
              <w:t>HU</w:t>
            </w:r>
            <w:r w:rsidRPr="00072AEA">
              <w:rPr>
                <w:sz w:val="20"/>
                <w:szCs w:val="20"/>
                <w:lang w:val="el-GR"/>
              </w:rPr>
              <w:t>) ή οστικής πυκνότητας (</w:t>
            </w:r>
            <w:r w:rsidRPr="00072AEA">
              <w:rPr>
                <w:sz w:val="20"/>
                <w:szCs w:val="20"/>
              </w:rPr>
              <w:t>BMD</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Υποστήριξη ανασυγκρότησης ελικοειδών σαρώσεων.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Ανασυγκρότηση με επιτάχυνση </w:t>
            </w:r>
            <w:r w:rsidRPr="00072AEA">
              <w:rPr>
                <w:sz w:val="20"/>
                <w:szCs w:val="20"/>
              </w:rPr>
              <w:t>GPU</w:t>
            </w:r>
            <w:r w:rsidRPr="00072AEA">
              <w:rPr>
                <w:sz w:val="20"/>
                <w:szCs w:val="20"/>
                <w:lang w:val="el-GR"/>
              </w:rPr>
              <w:t xml:space="preserve">, ικανή να επεξεργαστεί τουλάχιστον 1700 τομές μεγέθους 2750×2750 </w:t>
            </w:r>
            <w:r w:rsidRPr="00072AEA">
              <w:rPr>
                <w:sz w:val="20"/>
                <w:szCs w:val="20"/>
              </w:rPr>
              <w:t>px</w:t>
            </w:r>
            <w:r w:rsidRPr="00072AEA">
              <w:rPr>
                <w:sz w:val="20"/>
                <w:szCs w:val="20"/>
                <w:lang w:val="el-GR"/>
              </w:rPr>
              <w:t xml:space="preserve"> σε χρόνο ≤ 3 λεπτών.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widowControl w:val="0"/>
              <w:ind w:left="0" w:hanging="2"/>
              <w:rPr>
                <w:sz w:val="20"/>
                <w:szCs w:val="20"/>
                <w:lang w:val="el-GR"/>
              </w:rPr>
            </w:pPr>
            <w:r w:rsidRPr="00072AEA">
              <w:rPr>
                <w:sz w:val="20"/>
                <w:szCs w:val="20"/>
                <w:lang w:val="el-GR"/>
              </w:rPr>
              <w:t>Ανάλυση εικόνας 2</w:t>
            </w:r>
            <w:r w:rsidRPr="00072AEA">
              <w:rPr>
                <w:sz w:val="20"/>
                <w:szCs w:val="20"/>
              </w:rPr>
              <w:t>D</w:t>
            </w:r>
            <w:r w:rsidRPr="00072AEA">
              <w:rPr>
                <w:sz w:val="20"/>
                <w:szCs w:val="20"/>
                <w:lang w:val="el-GR"/>
              </w:rPr>
              <w:t>/3</w:t>
            </w:r>
            <w:r w:rsidRPr="00072AEA">
              <w:rPr>
                <w:sz w:val="20"/>
                <w:szCs w:val="20"/>
              </w:rPr>
              <w:t>D</w:t>
            </w:r>
            <w:r w:rsidRPr="00072AEA">
              <w:rPr>
                <w:sz w:val="20"/>
                <w:szCs w:val="20"/>
                <w:lang w:val="el-GR"/>
              </w:rPr>
              <w:t xml:space="preserve">, η οποία να λαμβάνει αριθμητικά δεδομένα από τη μορφολογία ενός αντικειμένου. </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υπολογισμού σε οποιαδήποτε μεμονωμένη φέτα των εμβαδόν, περιμέτρου, μεγέθους και στρογγυλότητας όλων των αντικειμένων.</w:t>
            </w:r>
          </w:p>
        </w:tc>
        <w:tc>
          <w:tcPr>
            <w:tcW w:w="1559" w:type="dxa"/>
            <w:tcBorders>
              <w:top w:val="single" w:sz="4" w:space="0" w:color="000000"/>
              <w:left w:val="single" w:sz="4" w:space="0" w:color="000000"/>
              <w:bottom w:val="single" w:sz="4" w:space="0" w:color="000000"/>
              <w:right w:val="single" w:sz="4" w:space="0" w:color="000000"/>
            </w:tcBorders>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.4.19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συνδυασμού των αποτελεσμάτων σε ένα ιστόγραμμα με χρωματική κωδικοποίηση και σε μια έκθεση συνολικών και μέσων τιμών, όπως πορώδες, συνολική και μέση επιφάνεια και περίμετρος αντικειμένων κ.ά.</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.4.20</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αποθήκευσης των αποτελεσμάτων της τρισδιάστατης ανάλυσης σε αρχεία κειμένου,      υπολογιστικών φύλλων και ως εικόνες υπολογισμένων χρωματικά κωδικοποιημένων κατανομών.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lastRenderedPageBreak/>
              <w:t>1.</w:t>
            </w:r>
            <w:r w:rsidRPr="00072AEA">
              <w:rPr>
                <w:sz w:val="20"/>
                <w:szCs w:val="20"/>
                <w:lang w:val="el-GR"/>
              </w:rPr>
              <w:t>5</w:t>
            </w:r>
            <w:r w:rsidRPr="00072AEA">
              <w:rPr>
                <w:sz w:val="20"/>
                <w:szCs w:val="20"/>
              </w:rPr>
              <w:t>.4.21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τρισδιάστατης μορφολογικής ανάλυσης για τη δημιουργία χρωματικά κωδικοποιημένου όγκου, σύμφωνα με τις υπολογιζόμενες αριθμητικές τιμές του αντικειμένου και δυνατότητα συνδυασμού αυτού μαζί με τη μορφολογία του αντικειμένου στην απόδοση του όγκου.</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.4.22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ομαδικής επεξεργασίας και  εφαρμογής οποιουδήποτε συνδυασμού λειτουργιών διόρθωσης εικόνας, μορφολογικών λειτουργιών και υπορουτίνων ανάλυσης τρισδιάστατης εικόνας σε πολλαπλά σύνολα δεδομένων.</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.4.23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Δυνατότητα επιφανειακής απόδοσης με τη δημιουργία τρισδιάστατων μοντέλων, αποθηκευμένων σε μορφή </w:t>
            </w:r>
            <w:r w:rsidRPr="00072AEA">
              <w:rPr>
                <w:sz w:val="20"/>
                <w:szCs w:val="20"/>
              </w:rPr>
              <w:t>STL</w:t>
            </w:r>
            <w:r w:rsidRPr="00072AEA">
              <w:rPr>
                <w:sz w:val="20"/>
                <w:szCs w:val="20"/>
                <w:lang w:val="el-GR"/>
              </w:rPr>
              <w:t>, κατάλληλη για τρισδιάστατους εκτυπωτές και λογισμικό τρίτων κατασκευαστών.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5</w:t>
            </w:r>
            <w:r w:rsidRPr="00072AEA">
              <w:rPr>
                <w:sz w:val="20"/>
                <w:szCs w:val="20"/>
              </w:rPr>
              <w:t>.4.24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Αποθήκευση κάθε εικόνας και αποτύπωσης σε μορφές αρχείων </w:t>
            </w:r>
            <w:r w:rsidRPr="00072AEA">
              <w:rPr>
                <w:sz w:val="20"/>
                <w:szCs w:val="20"/>
              </w:rPr>
              <w:t>BPM</w:t>
            </w:r>
            <w:r w:rsidRPr="00072AEA">
              <w:rPr>
                <w:sz w:val="20"/>
                <w:szCs w:val="20"/>
                <w:lang w:val="el-GR"/>
              </w:rPr>
              <w:t xml:space="preserve">, </w:t>
            </w:r>
            <w:r w:rsidRPr="00072AEA">
              <w:rPr>
                <w:sz w:val="20"/>
                <w:szCs w:val="20"/>
              </w:rPr>
              <w:t>JPG</w:t>
            </w:r>
            <w:r w:rsidRPr="00072AEA">
              <w:rPr>
                <w:sz w:val="20"/>
                <w:szCs w:val="20"/>
                <w:lang w:val="el-GR"/>
              </w:rPr>
              <w:t xml:space="preserve"> και </w:t>
            </w:r>
            <w:r w:rsidRPr="00072AEA">
              <w:rPr>
                <w:sz w:val="20"/>
                <w:szCs w:val="20"/>
              </w:rPr>
              <w:t>PNG</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1.</w:t>
            </w:r>
            <w:r w:rsidRPr="00072AEA">
              <w:rPr>
                <w:b/>
                <w:sz w:val="20"/>
                <w:szCs w:val="20"/>
                <w:lang w:val="el-GR"/>
              </w:rPr>
              <w:t>6</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Αναβαθμίσεις / Προεκτάσεις συστήματος</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6</w:t>
            </w:r>
            <w:r w:rsidRPr="00072AEA">
              <w:rPr>
                <w:sz w:val="20"/>
                <w:szCs w:val="20"/>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αναβάθμισης με ενιαία (1 συσκευή) τράπεζα συμπίεσης/εφελκυσμού.</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6</w:t>
            </w:r>
            <w:r w:rsidRPr="00072AEA">
              <w:rPr>
                <w:sz w:val="20"/>
                <w:szCs w:val="20"/>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αναβάθμισης με θερμική τράπεζα ικανή για ψύξη και θέρμανση από -40°</w:t>
            </w:r>
            <w:r w:rsidRPr="00072AEA">
              <w:rPr>
                <w:sz w:val="20"/>
                <w:szCs w:val="20"/>
              </w:rPr>
              <w:t>C</w:t>
            </w:r>
            <w:r w:rsidRPr="00072AEA">
              <w:rPr>
                <w:sz w:val="20"/>
                <w:szCs w:val="20"/>
                <w:lang w:val="el-GR"/>
              </w:rPr>
              <w:t xml:space="preserve"> έως +120°</w:t>
            </w:r>
            <w:r w:rsidRPr="00072AEA">
              <w:rPr>
                <w:sz w:val="20"/>
                <w:szCs w:val="20"/>
              </w:rPr>
              <w:t>C</w:t>
            </w:r>
            <w:r w:rsidRPr="00072AEA">
              <w:rPr>
                <w:sz w:val="20"/>
                <w:szCs w:val="20"/>
                <w:lang w:val="el-GR"/>
              </w:rPr>
              <w:t xml:space="preserve"> τουλάχιστον, με ακρίβεια θερμοκρασίας καλύτερη από 1°</w:t>
            </w:r>
            <w:r w:rsidRPr="00072AEA">
              <w:rPr>
                <w:sz w:val="20"/>
                <w:szCs w:val="20"/>
              </w:rPr>
              <w:t>C</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6</w:t>
            </w:r>
            <w:r w:rsidRPr="00072AEA">
              <w:rPr>
                <w:sz w:val="20"/>
                <w:szCs w:val="20"/>
              </w:rPr>
              <w:t>.3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αναβάθμισης σε σύστημα διαδραστικής τρισδιάστατης απεικόνισης με τεχνολογία παρακολούθησης ματιών, χωρίς την απαραίτητη χρήση 3</w:t>
            </w:r>
            <w:r w:rsidRPr="00072AEA">
              <w:rPr>
                <w:sz w:val="20"/>
                <w:szCs w:val="20"/>
              </w:rPr>
              <w:t>D</w:t>
            </w:r>
            <w:r w:rsidRPr="00072AEA">
              <w:rPr>
                <w:sz w:val="20"/>
                <w:szCs w:val="20"/>
                <w:lang w:val="el-GR"/>
              </w:rPr>
              <w:t>-γυαλιών.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6</w:t>
            </w:r>
            <w:r w:rsidRPr="00072AEA">
              <w:rPr>
                <w:sz w:val="20"/>
                <w:szCs w:val="20"/>
              </w:rPr>
              <w:t>.4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Δυνατότητα αναβάθμισης με αυτόματο εναλλάκτη δειγμάτων χωρητικότητας ≥</w:t>
            </w:r>
            <w:r w:rsidRPr="00072AEA">
              <w:rPr>
                <w:sz w:val="20"/>
                <w:szCs w:val="20"/>
              </w:rPr>
              <w:t> </w:t>
            </w:r>
            <w:r w:rsidRPr="00072AEA">
              <w:rPr>
                <w:sz w:val="20"/>
                <w:szCs w:val="20"/>
                <w:lang w:val="el-GR"/>
              </w:rPr>
              <w:t>16 δειγμάτων, μέγιστου μήκους ≥ 100</w:t>
            </w:r>
            <w:r w:rsidRPr="00072AEA">
              <w:rPr>
                <w:sz w:val="20"/>
                <w:szCs w:val="20"/>
              </w:rPr>
              <w:t>mm</w:t>
            </w:r>
            <w:r w:rsidRPr="00072AEA">
              <w:rPr>
                <w:sz w:val="20"/>
                <w:szCs w:val="20"/>
                <w:lang w:val="el-GR"/>
              </w:rPr>
              <w:t xml:space="preserve"> και μέγιστης διαμέτρου ≥ 50</w:t>
            </w:r>
            <w:r w:rsidRPr="00072AEA">
              <w:rPr>
                <w:sz w:val="20"/>
                <w:szCs w:val="20"/>
              </w:rPr>
              <w:t>mm</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1.</w:t>
            </w:r>
            <w:r w:rsidRPr="00072AEA">
              <w:rPr>
                <w:b/>
                <w:sz w:val="20"/>
                <w:szCs w:val="20"/>
                <w:lang w:val="el-GR"/>
              </w:rPr>
              <w:t>7</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Απαραίτητος παρελκόμενος εξοπλισμός</w:t>
            </w:r>
          </w:p>
        </w:tc>
        <w:tc>
          <w:tcPr>
            <w:tcW w:w="236" w:type="dxa"/>
            <w:vAlign w:val="center"/>
          </w:tcPr>
          <w:p w:rsidR="00184A38" w:rsidRPr="00072AEA" w:rsidRDefault="00184A38" w:rsidP="00117A26">
            <w:pPr>
              <w:spacing w:after="0" w:line="240" w:lineRule="auto"/>
              <w:ind w:leftChars="0" w:left="0" w:firstLineChars="0" w:firstLine="0"/>
              <w:jc w:val="left"/>
              <w:textDirection w:val="lrTb"/>
              <w:textAlignment w:val="auto"/>
              <w:outlineLvl w:val="9"/>
              <w:rPr>
                <w:b/>
              </w:rPr>
            </w:pPr>
            <w:r w:rsidRPr="00072AEA">
              <w:rPr>
                <w:b/>
                <w:sz w:val="20"/>
                <w:szCs w:val="20"/>
              </w:rPr>
              <w:t xml:space="preserve">                         </w:t>
            </w:r>
          </w:p>
        </w:tc>
      </w:tr>
      <w:tr w:rsidR="00184A38" w:rsidRPr="00072AEA" w:rsidTr="00117A26">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w:t>
            </w:r>
            <w:r w:rsidRPr="00072AEA">
              <w:rPr>
                <w:b/>
                <w:sz w:val="20"/>
                <w:szCs w:val="20"/>
                <w:lang w:val="el-GR"/>
              </w:rPr>
              <w:t>7</w:t>
            </w:r>
            <w:r w:rsidRPr="00072AEA">
              <w:rPr>
                <w:b/>
                <w:sz w:val="20"/>
                <w:szCs w:val="20"/>
              </w:rPr>
              <w:t>.1</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Online UPS</w:t>
            </w:r>
          </w:p>
        </w:tc>
        <w:tc>
          <w:tcPr>
            <w:tcW w:w="236" w:type="dxa"/>
            <w:vAlign w:val="center"/>
          </w:tcPr>
          <w:p w:rsidR="00184A38" w:rsidRPr="00072AEA" w:rsidRDefault="00184A38" w:rsidP="00117A26">
            <w:pPr>
              <w:spacing w:after="0" w:line="240" w:lineRule="auto"/>
              <w:ind w:leftChars="0" w:left="0" w:right="522" w:firstLineChars="0" w:firstLine="0"/>
              <w:jc w:val="left"/>
              <w:textDirection w:val="lrTb"/>
              <w:textAlignment w:val="auto"/>
              <w:outlineLvl w:val="9"/>
              <w:rPr>
                <w:b/>
              </w:rPr>
            </w:pPr>
            <w:r w:rsidRPr="00072AEA">
              <w:rPr>
                <w:b/>
                <w:sz w:val="20"/>
                <w:szCs w:val="20"/>
              </w:rPr>
              <w:t xml:space="preserve">                      </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7</w:t>
            </w:r>
            <w:r w:rsidRPr="00072AEA">
              <w:rPr>
                <w:sz w:val="20"/>
                <w:szCs w:val="20"/>
              </w:rPr>
              <w:t>.1.1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Να ακολουθείται από κατάλληλο σύστημα αδιάλειπτης παροχής ρεύματος (ο</w:t>
            </w:r>
            <w:r w:rsidRPr="00072AEA">
              <w:rPr>
                <w:sz w:val="20"/>
                <w:szCs w:val="20"/>
              </w:rPr>
              <w:t>nline</w:t>
            </w:r>
            <w:r w:rsidRPr="00072AEA">
              <w:rPr>
                <w:sz w:val="20"/>
                <w:szCs w:val="20"/>
                <w:lang w:val="el-GR"/>
              </w:rPr>
              <w:t xml:space="preserve"> </w:t>
            </w:r>
            <w:r w:rsidRPr="00072AEA">
              <w:rPr>
                <w:sz w:val="20"/>
                <w:szCs w:val="20"/>
              </w:rPr>
              <w:t>UPS</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1.</w:t>
            </w:r>
            <w:r w:rsidRPr="00072AEA">
              <w:rPr>
                <w:b/>
                <w:sz w:val="20"/>
                <w:szCs w:val="20"/>
                <w:lang w:val="el-GR"/>
              </w:rPr>
              <w:t>7</w:t>
            </w:r>
            <w:r w:rsidRPr="00072AEA">
              <w:rPr>
                <w:b/>
                <w:sz w:val="20"/>
                <w:szCs w:val="20"/>
              </w:rPr>
              <w:t>.2</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lang w:val="el-GR"/>
              </w:rPr>
            </w:pPr>
            <w:r w:rsidRPr="00072AEA">
              <w:rPr>
                <w:b/>
                <w:sz w:val="20"/>
                <w:szCs w:val="20"/>
                <w:lang w:val="el-GR"/>
              </w:rPr>
              <w:t>Χαρακτηριστικά σετ βαθμονόμησης οστικής πυκνότητας</w:t>
            </w:r>
          </w:p>
        </w:tc>
        <w:tc>
          <w:tcPr>
            <w:tcW w:w="236" w:type="dxa"/>
            <w:vAlign w:val="center"/>
          </w:tcPr>
          <w:p w:rsidR="00184A38" w:rsidRPr="00072AEA" w:rsidRDefault="00184A38" w:rsidP="00117A26">
            <w:pPr>
              <w:spacing w:after="0" w:line="240" w:lineRule="auto"/>
              <w:ind w:leftChars="0" w:left="0" w:firstLineChars="0" w:firstLine="0"/>
              <w:jc w:val="left"/>
              <w:textDirection w:val="lrTb"/>
              <w:textAlignment w:val="auto"/>
              <w:outlineLvl w:val="9"/>
              <w:rPr>
                <w:b/>
                <w:lang w:val="el-GR"/>
              </w:rPr>
            </w:pPr>
            <w:r w:rsidRPr="00072AEA">
              <w:rPr>
                <w:b/>
                <w:sz w:val="20"/>
                <w:szCs w:val="20"/>
                <w:lang w:val="el-GR"/>
              </w:rPr>
              <w:t xml:space="preserve">                        </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7</w:t>
            </w:r>
            <w:r w:rsidRPr="00072AEA">
              <w:rPr>
                <w:sz w:val="20"/>
                <w:szCs w:val="20"/>
              </w:rPr>
              <w:t>.2.1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Παροχή σετ βαθμονόμησης οστικής πυκνότητας, που περιλαμβάνει έξι (6) κυλινδρικές ράβδους (</w:t>
            </w:r>
            <w:r w:rsidRPr="00072AEA">
              <w:rPr>
                <w:sz w:val="20"/>
                <w:szCs w:val="20"/>
              </w:rPr>
              <w:t>rods</w:t>
            </w:r>
            <w:r w:rsidRPr="00072AEA">
              <w:rPr>
                <w:sz w:val="20"/>
                <w:szCs w:val="20"/>
                <w:lang w:val="el-GR"/>
              </w:rPr>
              <w:t>) υδροξυαπατίτη (</w:t>
            </w:r>
            <w:r w:rsidRPr="00072AEA">
              <w:rPr>
                <w:sz w:val="20"/>
                <w:szCs w:val="20"/>
              </w:rPr>
              <w:t>HA</w:t>
            </w:r>
            <w:r w:rsidRPr="00072AEA">
              <w:rPr>
                <w:sz w:val="20"/>
                <w:szCs w:val="20"/>
                <w:lang w:val="el-GR"/>
              </w:rPr>
              <w:t xml:space="preserve">), γνωστών πυκνοτήτων 250 και 750 </w:t>
            </w:r>
            <w:r w:rsidRPr="00072AEA">
              <w:rPr>
                <w:sz w:val="20"/>
                <w:szCs w:val="20"/>
              </w:rPr>
              <w:t>mg</w:t>
            </w:r>
            <w:r w:rsidRPr="00072AEA">
              <w:rPr>
                <w:sz w:val="20"/>
                <w:szCs w:val="20"/>
                <w:lang w:val="el-GR"/>
              </w:rPr>
              <w:t xml:space="preserve"> </w:t>
            </w:r>
            <w:r w:rsidRPr="00072AEA">
              <w:rPr>
                <w:sz w:val="20"/>
                <w:szCs w:val="20"/>
              </w:rPr>
              <w:t>HA</w:t>
            </w:r>
            <w:r w:rsidRPr="00072AEA">
              <w:rPr>
                <w:sz w:val="20"/>
                <w:szCs w:val="20"/>
                <w:lang w:val="el-GR"/>
              </w:rPr>
              <w:t>/</w:t>
            </w:r>
            <w:r w:rsidRPr="00072AEA">
              <w:rPr>
                <w:sz w:val="20"/>
                <w:szCs w:val="20"/>
              </w:rPr>
              <w:t>cc</w:t>
            </w:r>
            <w:r w:rsidRPr="00072AEA">
              <w:rPr>
                <w:sz w:val="20"/>
                <w:szCs w:val="20"/>
                <w:lang w:val="el-GR"/>
              </w:rPr>
              <w:t xml:space="preserve">, διαμέτρων </w:t>
            </w:r>
            <w:r w:rsidRPr="00072AEA">
              <w:rPr>
                <w:sz w:val="20"/>
                <w:szCs w:val="20"/>
              </w:rPr>
              <w:t>D</w:t>
            </w:r>
            <w:r w:rsidRPr="00072AEA">
              <w:rPr>
                <w:sz w:val="20"/>
                <w:szCs w:val="20"/>
                <w:lang w:val="el-GR"/>
              </w:rPr>
              <w:t xml:space="preserve">=4, 8 και 16 </w:t>
            </w:r>
            <w:r w:rsidRPr="00072AEA">
              <w:rPr>
                <w:sz w:val="20"/>
                <w:szCs w:val="20"/>
              </w:rPr>
              <w:t>mm</w:t>
            </w:r>
            <w:r w:rsidRPr="00072AEA">
              <w:rPr>
                <w:sz w:val="20"/>
                <w:szCs w:val="20"/>
                <w:lang w:val="el-GR"/>
              </w:rPr>
              <w:t xml:space="preserve"> (Ø4, Ø8, Ø16 </w:t>
            </w:r>
            <w:r w:rsidRPr="00072AEA">
              <w:rPr>
                <w:sz w:val="20"/>
                <w:szCs w:val="20"/>
              </w:rPr>
              <w:t>mm</w:t>
            </w:r>
            <w:r w:rsidRPr="00072AEA">
              <w:rPr>
                <w:sz w:val="20"/>
                <w:szCs w:val="20"/>
                <w:lang w:val="el-GR"/>
              </w:rPr>
              <w:t>) και μήκους 15</w:t>
            </w:r>
            <w:r w:rsidRPr="00072AEA">
              <w:rPr>
                <w:sz w:val="20"/>
                <w:szCs w:val="20"/>
              </w:rPr>
              <w:t>mm</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lastRenderedPageBreak/>
              <w:t>1.</w:t>
            </w:r>
            <w:r w:rsidRPr="00072AEA">
              <w:rPr>
                <w:b/>
                <w:sz w:val="20"/>
                <w:szCs w:val="20"/>
                <w:lang w:val="el-GR"/>
              </w:rPr>
              <w:t>7</w:t>
            </w:r>
            <w:r w:rsidRPr="00072AEA">
              <w:rPr>
                <w:b/>
                <w:sz w:val="20"/>
                <w:szCs w:val="20"/>
              </w:rPr>
              <w:t>.</w:t>
            </w:r>
            <w:r w:rsidRPr="00072AEA">
              <w:rPr>
                <w:b/>
                <w:sz w:val="20"/>
                <w:szCs w:val="20"/>
                <w:lang w:val="el-GR"/>
              </w:rPr>
              <w:t>3</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lang w:val="el-GR"/>
              </w:rPr>
            </w:pPr>
            <w:r w:rsidRPr="00072AEA">
              <w:rPr>
                <w:b/>
                <w:sz w:val="20"/>
                <w:szCs w:val="20"/>
                <w:lang w:val="el-GR"/>
              </w:rPr>
              <w:t>Χαρακτηριστικά επιτραπέζιου υπολογιστή υψηλής απόδοσης</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Επεξεργαστής </w:t>
            </w:r>
            <w:r w:rsidRPr="00072AEA">
              <w:rPr>
                <w:sz w:val="20"/>
                <w:szCs w:val="20"/>
              </w:rPr>
              <w:t>AMD</w:t>
            </w:r>
            <w:r w:rsidRPr="00072AEA">
              <w:rPr>
                <w:sz w:val="20"/>
                <w:szCs w:val="20"/>
                <w:lang w:val="el-GR"/>
              </w:rPr>
              <w:t xml:space="preserve">, </w:t>
            </w:r>
            <w:r w:rsidRPr="00072AEA">
              <w:rPr>
                <w:sz w:val="20"/>
                <w:szCs w:val="20"/>
              </w:rPr>
              <w:t>Ryzen</w:t>
            </w:r>
            <w:r w:rsidRPr="00072AEA">
              <w:rPr>
                <w:sz w:val="20"/>
                <w:szCs w:val="20"/>
                <w:lang w:val="el-GR"/>
              </w:rPr>
              <w:t xml:space="preserve"> 7, γενιάς </w:t>
            </w:r>
            <w:r w:rsidRPr="00072AEA">
              <w:rPr>
                <w:sz w:val="20"/>
                <w:szCs w:val="20"/>
              </w:rPr>
              <w:t>Zen</w:t>
            </w:r>
            <w:r w:rsidRPr="00072AEA">
              <w:rPr>
                <w:sz w:val="20"/>
                <w:szCs w:val="20"/>
                <w:lang w:val="el-GR"/>
              </w:rPr>
              <w:t xml:space="preserve"> 4, μοντέλο 9800</w:t>
            </w:r>
            <w:r w:rsidRPr="00072AEA">
              <w:rPr>
                <w:sz w:val="20"/>
                <w:szCs w:val="20"/>
              </w:rPr>
              <w:t>X</w:t>
            </w:r>
            <w:r w:rsidRPr="00072AEA">
              <w:rPr>
                <w:sz w:val="20"/>
                <w:szCs w:val="20"/>
                <w:lang w:val="el-GR"/>
              </w:rPr>
              <w:t>3</w:t>
            </w:r>
            <w:r w:rsidRPr="00072AEA">
              <w:rPr>
                <w:sz w:val="20"/>
                <w:szCs w:val="20"/>
              </w:rPr>
              <w:t>D</w:t>
            </w:r>
            <w:r w:rsidRPr="00072AEA">
              <w:rPr>
                <w:sz w:val="20"/>
                <w:szCs w:val="20"/>
                <w:lang w:val="el-GR"/>
              </w:rPr>
              <w:t xml:space="preserve">, 4,2 </w:t>
            </w:r>
            <w:r w:rsidRPr="00072AEA">
              <w:rPr>
                <w:sz w:val="20"/>
                <w:szCs w:val="20"/>
              </w:rPr>
              <w:t>GHz</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Προσωρινή μνήμη: </w:t>
            </w:r>
            <w:r w:rsidRPr="00072AEA">
              <w:rPr>
                <w:sz w:val="20"/>
                <w:szCs w:val="20"/>
              </w:rPr>
              <w:t>RAM</w:t>
            </w:r>
            <w:r w:rsidRPr="00072AEA">
              <w:rPr>
                <w:sz w:val="20"/>
                <w:szCs w:val="20"/>
                <w:lang w:val="el-GR"/>
              </w:rPr>
              <w:t xml:space="preserve"> 32</w:t>
            </w:r>
            <w:r w:rsidRPr="00072AEA">
              <w:rPr>
                <w:sz w:val="20"/>
                <w:szCs w:val="20"/>
              </w:rPr>
              <w:t>GB</w:t>
            </w:r>
            <w:r w:rsidRPr="00072AEA">
              <w:rPr>
                <w:sz w:val="20"/>
                <w:szCs w:val="20"/>
                <w:lang w:val="el-GR"/>
              </w:rPr>
              <w:t xml:space="preserve">, </w:t>
            </w:r>
            <w:r w:rsidRPr="00072AEA">
              <w:rPr>
                <w:sz w:val="20"/>
                <w:szCs w:val="20"/>
              </w:rPr>
              <w:t>DDR</w:t>
            </w:r>
            <w:r w:rsidRPr="00072AEA">
              <w:rPr>
                <w:sz w:val="20"/>
                <w:szCs w:val="20"/>
                <w:lang w:val="el-GR"/>
              </w:rPr>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rPr>
              <w:t>Σκληρός δίσκος: SSD / 1TB.</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Δεύτερος σκληρός δίσκος: </w:t>
            </w:r>
            <w:r w:rsidRPr="00072AEA">
              <w:rPr>
                <w:sz w:val="20"/>
                <w:szCs w:val="20"/>
              </w:rPr>
              <w:t>SSD</w:t>
            </w:r>
            <w:r w:rsidRPr="00072AEA">
              <w:rPr>
                <w:sz w:val="20"/>
                <w:szCs w:val="20"/>
                <w:lang w:val="el-GR"/>
              </w:rPr>
              <w:t xml:space="preserve"> / 2</w:t>
            </w:r>
            <w:r w:rsidRPr="00072AEA">
              <w:rPr>
                <w:sz w:val="20"/>
                <w:szCs w:val="20"/>
              </w:rPr>
              <w:t>TB</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Κάρτα γραφικών: </w:t>
            </w:r>
            <w:r w:rsidRPr="00072AEA">
              <w:rPr>
                <w:sz w:val="20"/>
                <w:szCs w:val="20"/>
              </w:rPr>
              <w:t>Nvidia</w:t>
            </w:r>
            <w:r w:rsidRPr="00072AEA">
              <w:rPr>
                <w:sz w:val="20"/>
                <w:szCs w:val="20"/>
                <w:lang w:val="el-GR"/>
              </w:rPr>
              <w:t xml:space="preserve"> </w:t>
            </w:r>
            <w:r w:rsidRPr="00072AEA">
              <w:rPr>
                <w:sz w:val="20"/>
                <w:szCs w:val="20"/>
              </w:rPr>
              <w:t>GeForce</w:t>
            </w:r>
            <w:r w:rsidRPr="00072AEA">
              <w:rPr>
                <w:sz w:val="20"/>
                <w:szCs w:val="20"/>
                <w:lang w:val="el-GR"/>
              </w:rPr>
              <w:t xml:space="preserve"> </w:t>
            </w:r>
            <w:r w:rsidRPr="00072AEA">
              <w:rPr>
                <w:sz w:val="20"/>
                <w:szCs w:val="20"/>
              </w:rPr>
              <w:t>RTX</w:t>
            </w:r>
            <w:r w:rsidRPr="00072AEA">
              <w:rPr>
                <w:sz w:val="20"/>
                <w:szCs w:val="20"/>
                <w:lang w:val="el-GR"/>
              </w:rPr>
              <w:t xml:space="preserve"> 5070 / 12</w:t>
            </w:r>
            <w:r w:rsidRPr="00072AEA">
              <w:rPr>
                <w:sz w:val="20"/>
                <w:szCs w:val="20"/>
              </w:rPr>
              <w:t>GB</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rPr>
              <w:t>Λειτουργικό σύστημα: Windows 11.</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Οθόνη: </w:t>
            </w:r>
            <w:r w:rsidRPr="00072AEA">
              <w:rPr>
                <w:sz w:val="20"/>
                <w:szCs w:val="20"/>
              </w:rPr>
              <w:t>IPS</w:t>
            </w:r>
            <w:r w:rsidRPr="00072AEA">
              <w:rPr>
                <w:sz w:val="20"/>
                <w:szCs w:val="20"/>
                <w:lang w:val="el-GR"/>
              </w:rPr>
              <w:t xml:space="preserve">, </w:t>
            </w:r>
            <w:r w:rsidRPr="00072AEA">
              <w:rPr>
                <w:sz w:val="20"/>
                <w:szCs w:val="20"/>
              </w:rPr>
              <w:t>HDR</w:t>
            </w:r>
            <w:r w:rsidRPr="00072AEA">
              <w:rPr>
                <w:sz w:val="20"/>
                <w:szCs w:val="20"/>
                <w:lang w:val="el-GR"/>
              </w:rPr>
              <w:t>, ≥</w:t>
            </w:r>
            <w:r w:rsidRPr="00072AEA">
              <w:rPr>
                <w:sz w:val="20"/>
                <w:szCs w:val="20"/>
              </w:rPr>
              <w:t> </w:t>
            </w:r>
            <w:r w:rsidRPr="00072AEA">
              <w:rPr>
                <w:sz w:val="20"/>
                <w:szCs w:val="20"/>
                <w:lang w:val="el-GR"/>
              </w:rPr>
              <w:t>31,5" διαγώνιος, Ανάλυση 4Κ (3840</w:t>
            </w:r>
            <w:r w:rsidRPr="00072AEA">
              <w:rPr>
                <w:sz w:val="20"/>
                <w:szCs w:val="20"/>
              </w:rPr>
              <w:t>x</w:t>
            </w:r>
            <w:r w:rsidRPr="00072AEA">
              <w:rPr>
                <w:sz w:val="20"/>
                <w:szCs w:val="20"/>
                <w:lang w:val="el-GR"/>
              </w:rPr>
              <w:t>2160), Χρόνος απόκρισης (</w:t>
            </w:r>
            <w:r w:rsidRPr="00072AEA">
              <w:rPr>
                <w:sz w:val="20"/>
                <w:szCs w:val="20"/>
              </w:rPr>
              <w:t>GTG</w:t>
            </w:r>
            <w:r w:rsidRPr="00072AEA">
              <w:rPr>
                <w:sz w:val="20"/>
                <w:szCs w:val="20"/>
                <w:lang w:val="el-GR"/>
              </w:rPr>
              <w:t xml:space="preserve">) 1 </w:t>
            </w:r>
            <w:r w:rsidRPr="00072AEA">
              <w:rPr>
                <w:sz w:val="20"/>
                <w:szCs w:val="20"/>
              </w:rPr>
              <w:t>ms</w:t>
            </w:r>
            <w:r w:rsidRPr="00072AEA">
              <w:rPr>
                <w:sz w:val="20"/>
                <w:szCs w:val="20"/>
                <w:lang w:val="el-GR"/>
              </w:rPr>
              <w:t xml:space="preserve">, Ρυθμός ανανέωσης 144 </w:t>
            </w:r>
            <w:r w:rsidRPr="00072AEA">
              <w:rPr>
                <w:sz w:val="20"/>
                <w:szCs w:val="20"/>
              </w:rPr>
              <w:t>Hz</w:t>
            </w:r>
            <w:r w:rsidRPr="00072AEA">
              <w:rPr>
                <w:sz w:val="20"/>
                <w:szCs w:val="20"/>
                <w:lang w:val="el-GR"/>
              </w:rPr>
              <w:t xml:space="preserve">, </w:t>
            </w:r>
            <w:r w:rsidRPr="00072AEA">
              <w:rPr>
                <w:sz w:val="20"/>
                <w:szCs w:val="20"/>
              </w:rPr>
              <w:t>Aspect</w:t>
            </w:r>
            <w:r w:rsidRPr="00072AEA">
              <w:rPr>
                <w:sz w:val="20"/>
                <w:szCs w:val="20"/>
                <w:lang w:val="el-GR"/>
              </w:rPr>
              <w:t xml:space="preserve"> </w:t>
            </w:r>
            <w:r w:rsidRPr="00072AEA">
              <w:rPr>
                <w:sz w:val="20"/>
                <w:szCs w:val="20"/>
              </w:rPr>
              <w:t>Ratio</w:t>
            </w:r>
            <w:r w:rsidRPr="00072AEA">
              <w:rPr>
                <w:sz w:val="20"/>
                <w:szCs w:val="20"/>
                <w:lang w:val="el-GR"/>
              </w:rPr>
              <w:t xml:space="preserve"> 16:9, Ρυθμιζόμενο ύψος και κλίση οθόνης, Δυνατότητα οριζόντιας περιστροφής, Τύπους σύνδεσης </w:t>
            </w:r>
            <w:r w:rsidRPr="00072AEA">
              <w:rPr>
                <w:sz w:val="20"/>
                <w:szCs w:val="20"/>
              </w:rPr>
              <w:t>DisplayPort</w:t>
            </w:r>
            <w:r w:rsidRPr="00072AEA">
              <w:rPr>
                <w:sz w:val="20"/>
                <w:szCs w:val="20"/>
                <w:lang w:val="el-GR"/>
              </w:rPr>
              <w:t xml:space="preserve">, </w:t>
            </w:r>
            <w:r w:rsidRPr="00072AEA">
              <w:rPr>
                <w:sz w:val="20"/>
                <w:szCs w:val="20"/>
              </w:rPr>
              <w:t>HDMI</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w:t>
            </w:r>
            <w:r w:rsidRPr="00072AEA">
              <w:rPr>
                <w:sz w:val="20"/>
                <w:szCs w:val="20"/>
              </w:rPr>
              <w:t>.</w:t>
            </w:r>
            <w:r w:rsidRPr="00072AEA">
              <w:rPr>
                <w:sz w:val="20"/>
                <w:szCs w:val="20"/>
                <w:lang w:val="el-GR"/>
              </w:rPr>
              <w:t>3</w:t>
            </w:r>
            <w:r w:rsidRPr="00072AEA">
              <w:rPr>
                <w:sz w:val="20"/>
                <w:szCs w:val="20"/>
              </w:rPr>
              <w:t>.</w:t>
            </w:r>
            <w:r w:rsidRPr="00072AEA">
              <w:rPr>
                <w:sz w:val="20"/>
                <w:szCs w:val="20"/>
                <w:lang w:val="el-GR"/>
              </w:rPr>
              <w:t>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Περιφερειακά: Ασύρματο πληκτρολόγιο με σύνδεση </w:t>
            </w:r>
            <w:r w:rsidRPr="00072AEA">
              <w:rPr>
                <w:sz w:val="20"/>
                <w:szCs w:val="20"/>
              </w:rPr>
              <w:t>USB</w:t>
            </w:r>
            <w:r w:rsidRPr="00072AEA">
              <w:rPr>
                <w:sz w:val="20"/>
                <w:szCs w:val="20"/>
                <w:lang w:val="el-GR"/>
              </w:rPr>
              <w:t xml:space="preserve"> / Ασύρματο ποντίκι με σύνδεση </w:t>
            </w:r>
            <w:r w:rsidRPr="00072AEA">
              <w:rPr>
                <w:sz w:val="20"/>
                <w:szCs w:val="20"/>
              </w:rPr>
              <w:t>USB</w:t>
            </w:r>
            <w:r w:rsidRPr="00072AEA">
              <w:rPr>
                <w:sz w:val="20"/>
                <w:szCs w:val="20"/>
                <w:lang w:val="el-GR"/>
              </w:rPr>
              <w:t xml:space="preserve">, αισθητήρα </w:t>
            </w:r>
            <w:r w:rsidRPr="00072AEA">
              <w:rPr>
                <w:sz w:val="20"/>
                <w:szCs w:val="20"/>
              </w:rPr>
              <w:t>laser</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1.</w:t>
            </w:r>
            <w:r w:rsidRPr="00072AEA">
              <w:rPr>
                <w:b/>
                <w:sz w:val="20"/>
                <w:szCs w:val="20"/>
                <w:lang w:val="el-GR"/>
              </w:rPr>
              <w:t>7.4</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lang w:val="el-GR"/>
              </w:rPr>
            </w:pPr>
            <w:r w:rsidRPr="00072AEA">
              <w:rPr>
                <w:b/>
                <w:sz w:val="20"/>
                <w:szCs w:val="20"/>
              </w:rPr>
              <w:t>Χαρακτηριστικά φορητού επιτραπέζιου μικροϋπολογιστή</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7.4</w:t>
            </w:r>
            <w:r w:rsidRPr="00072AEA">
              <w:rPr>
                <w:sz w:val="20"/>
                <w:szCs w:val="20"/>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Επεξεργαστής υψηλών επιδόσεων, Intel Core Ultra 7 155H, γενιάς Meteor Lake (14th Gen), 1,4 GHz.</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Σκληρός δίσκος: SSD / 1TB.</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Προσωρινή μνήμη: </w:t>
            </w:r>
            <w:r w:rsidRPr="00072AEA">
              <w:rPr>
                <w:sz w:val="20"/>
                <w:szCs w:val="20"/>
              </w:rPr>
              <w:t>RAM</w:t>
            </w:r>
            <w:r w:rsidRPr="00072AEA">
              <w:rPr>
                <w:sz w:val="20"/>
                <w:szCs w:val="20"/>
                <w:lang w:val="el-GR"/>
              </w:rPr>
              <w:t xml:space="preserve"> 32 </w:t>
            </w:r>
            <w:r w:rsidRPr="00072AEA">
              <w:rPr>
                <w:sz w:val="20"/>
                <w:szCs w:val="20"/>
              </w:rPr>
              <w:t>GB</w:t>
            </w:r>
            <w:r w:rsidRPr="00072AEA">
              <w:rPr>
                <w:sz w:val="20"/>
                <w:szCs w:val="20"/>
                <w:lang w:val="el-GR"/>
              </w:rPr>
              <w:t xml:space="preserve"> </w:t>
            </w:r>
            <w:r w:rsidRPr="00072AEA">
              <w:rPr>
                <w:sz w:val="20"/>
                <w:szCs w:val="20"/>
              </w:rPr>
              <w:t>DDR</w:t>
            </w:r>
            <w:r w:rsidRPr="00072AEA">
              <w:rPr>
                <w:sz w:val="20"/>
                <w:szCs w:val="20"/>
                <w:lang w:val="el-GR"/>
              </w:rPr>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4</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Κάρτα γραφικών: </w:t>
            </w:r>
            <w:r w:rsidRPr="00072AEA">
              <w:rPr>
                <w:sz w:val="20"/>
                <w:szCs w:val="20"/>
              </w:rPr>
              <w:t>Nvidia</w:t>
            </w:r>
            <w:r w:rsidRPr="00072AEA">
              <w:rPr>
                <w:sz w:val="20"/>
                <w:szCs w:val="20"/>
                <w:lang w:val="el-GR"/>
              </w:rPr>
              <w:t xml:space="preserve"> </w:t>
            </w:r>
            <w:r w:rsidRPr="00072AEA">
              <w:rPr>
                <w:sz w:val="20"/>
                <w:szCs w:val="20"/>
              </w:rPr>
              <w:t>RTX</w:t>
            </w:r>
            <w:r w:rsidRPr="00072AEA">
              <w:rPr>
                <w:sz w:val="20"/>
                <w:szCs w:val="20"/>
                <w:lang w:val="el-GR"/>
              </w:rPr>
              <w:t xml:space="preserve"> </w:t>
            </w:r>
            <w:r w:rsidRPr="00072AEA">
              <w:rPr>
                <w:sz w:val="20"/>
                <w:szCs w:val="20"/>
              </w:rPr>
              <w:t>A</w:t>
            </w:r>
            <w:r w:rsidRPr="00072AEA">
              <w:rPr>
                <w:sz w:val="20"/>
                <w:szCs w:val="20"/>
                <w:lang w:val="el-GR"/>
              </w:rPr>
              <w:t>500 / 8</w:t>
            </w:r>
            <w:r w:rsidRPr="00072AEA">
              <w:rPr>
                <w:sz w:val="20"/>
                <w:szCs w:val="20"/>
              </w:rPr>
              <w:t>GB</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5</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Card reader.</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6</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r w:rsidRPr="00072AEA">
              <w:rPr>
                <w:sz w:val="20"/>
                <w:szCs w:val="20"/>
                <w:lang w:val="en-US"/>
              </w:rPr>
              <w:t>Συνδέσεις: Ethernet, HDMI, Thunderbolt 4, USB 3.2, HDMI 2.1, Wi-Fi, Bluetooth.</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n-US"/>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n-US"/>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7</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Οθόνη: </w:t>
            </w:r>
            <w:r w:rsidRPr="00072AEA">
              <w:rPr>
                <w:sz w:val="20"/>
                <w:szCs w:val="20"/>
                <w:lang w:val="en-US"/>
              </w:rPr>
              <w:t>Full</w:t>
            </w:r>
            <w:r w:rsidRPr="00072AEA">
              <w:rPr>
                <w:sz w:val="20"/>
                <w:szCs w:val="20"/>
                <w:lang w:val="el-GR"/>
              </w:rPr>
              <w:t xml:space="preserve"> </w:t>
            </w:r>
            <w:r w:rsidRPr="00072AEA">
              <w:rPr>
                <w:sz w:val="20"/>
                <w:szCs w:val="20"/>
                <w:lang w:val="en-US"/>
              </w:rPr>
              <w:t>HD</w:t>
            </w:r>
            <w:r w:rsidRPr="00072AEA">
              <w:rPr>
                <w:sz w:val="20"/>
                <w:szCs w:val="20"/>
                <w:lang w:val="el-GR"/>
              </w:rPr>
              <w:t>, Διαγώνιο ≥</w:t>
            </w:r>
            <w:r w:rsidRPr="00072AEA">
              <w:rPr>
                <w:sz w:val="20"/>
                <w:szCs w:val="20"/>
              </w:rPr>
              <w:t> </w:t>
            </w:r>
            <w:r w:rsidRPr="00072AEA">
              <w:rPr>
                <w:sz w:val="20"/>
                <w:szCs w:val="20"/>
                <w:lang w:val="el-GR"/>
              </w:rPr>
              <w:t>15,6", Ανάλυση 4Κ (1920</w:t>
            </w:r>
            <w:r w:rsidRPr="00072AEA">
              <w:rPr>
                <w:sz w:val="20"/>
                <w:szCs w:val="20"/>
                <w:lang w:val="en-US"/>
              </w:rPr>
              <w:t>x</w:t>
            </w:r>
            <w:r w:rsidRPr="00072AEA">
              <w:rPr>
                <w:sz w:val="20"/>
                <w:szCs w:val="20"/>
                <w:lang w:val="el-GR"/>
              </w:rPr>
              <w:t xml:space="preserve">1080), Ρυθμό ανανέωσης 60 </w:t>
            </w:r>
            <w:r w:rsidRPr="00072AEA">
              <w:rPr>
                <w:sz w:val="20"/>
                <w:szCs w:val="20"/>
                <w:lang w:val="en-US"/>
              </w:rPr>
              <w:t>Hz</w:t>
            </w:r>
            <w:r w:rsidRPr="00072AEA">
              <w:rPr>
                <w:sz w:val="20"/>
                <w:szCs w:val="20"/>
                <w:lang w:val="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8</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rPr>
              <w:t>Λειτουργικό σύστημα Windows 11 Pro.</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w:t>
            </w:r>
            <w:r w:rsidRPr="00072AEA">
              <w:rPr>
                <w:sz w:val="20"/>
                <w:szCs w:val="20"/>
                <w:lang w:val="el-GR"/>
              </w:rPr>
              <w:t>9</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r w:rsidRPr="00072AEA">
              <w:rPr>
                <w:sz w:val="20"/>
                <w:szCs w:val="20"/>
              </w:rPr>
              <w:t>Υποστήριξη NPU.</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rPr>
              <w:t>1.</w:t>
            </w:r>
            <w:r w:rsidRPr="00072AEA">
              <w:rPr>
                <w:sz w:val="20"/>
                <w:szCs w:val="20"/>
                <w:lang w:val="el-GR"/>
              </w:rPr>
              <w:t>7.4</w:t>
            </w:r>
            <w:r w:rsidRPr="00072AEA">
              <w:rPr>
                <w:sz w:val="20"/>
                <w:szCs w:val="20"/>
              </w:rPr>
              <w:t>.1</w:t>
            </w:r>
            <w:r w:rsidRPr="00072AEA">
              <w:rPr>
                <w:sz w:val="20"/>
                <w:szCs w:val="20"/>
                <w:lang w:val="el-GR"/>
              </w:rPr>
              <w:t>0</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 xml:space="preserve">Ασύρματο ποντίκι με σύνδεση </w:t>
            </w:r>
            <w:r w:rsidRPr="00072AEA">
              <w:rPr>
                <w:sz w:val="20"/>
                <w:szCs w:val="20"/>
              </w:rPr>
              <w:t>USB</w:t>
            </w:r>
            <w:r w:rsidRPr="00072AEA">
              <w:rPr>
                <w:sz w:val="20"/>
                <w:szCs w:val="20"/>
                <w:lang w:val="el-GR"/>
              </w:rPr>
              <w:t xml:space="preserve">, αισθητήρα </w:t>
            </w:r>
            <w:r w:rsidRPr="00072AEA">
              <w:rPr>
                <w:sz w:val="20"/>
                <w:szCs w:val="20"/>
              </w:rPr>
              <w:t>laser</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lastRenderedPageBreak/>
              <w:t>1.</w:t>
            </w:r>
            <w:r w:rsidRPr="00072AEA">
              <w:rPr>
                <w:b/>
                <w:sz w:val="20"/>
                <w:szCs w:val="20"/>
                <w:lang w:val="el-GR"/>
              </w:rPr>
              <w:t>8</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Επιπρόσθετα απαραίτητα χαρακτηριστικά εξοπλισμού</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1.8.1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Όλα τα είδη πρέπει να είναι τελευταίας γενιάς και επώνυμης προέλευσης, καινούργια και αμεταχείριστα, προσφάτως εισηγμένα στη διεθνή αγορά και να μην έχει σταματήσει η παραγωγή τους κατά την ημερομηνία παράδοσης.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1.8.2</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Όλα τα μέρη του συστήματος και του παρελκόμενου εξοπλισμού πρέπει να είναι πλήρως συμβατά μεταξύ τους.</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1.8.3</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rPr>
              <w:t>ISO</w:t>
            </w:r>
            <w:r w:rsidRPr="00072AEA">
              <w:rPr>
                <w:sz w:val="20"/>
                <w:szCs w:val="20"/>
                <w:lang w:val="el-GR"/>
              </w:rPr>
              <w:t xml:space="preserve"> 9001:2015, </w:t>
            </w:r>
            <w:r w:rsidRPr="00072AEA">
              <w:rPr>
                <w:sz w:val="20"/>
                <w:szCs w:val="20"/>
              </w:rPr>
              <w:t>ISO</w:t>
            </w:r>
            <w:r w:rsidRPr="00072AEA">
              <w:rPr>
                <w:sz w:val="20"/>
                <w:szCs w:val="20"/>
                <w:lang w:val="el-GR"/>
              </w:rPr>
              <w:t xml:space="preserve"> 13485:2016, Ι</w:t>
            </w:r>
            <w:r w:rsidRPr="00072AEA">
              <w:rPr>
                <w:sz w:val="20"/>
                <w:szCs w:val="20"/>
              </w:rPr>
              <w:t>SO</w:t>
            </w:r>
            <w:r w:rsidRPr="00072AEA">
              <w:rPr>
                <w:sz w:val="20"/>
                <w:szCs w:val="20"/>
                <w:lang w:val="el-GR"/>
              </w:rPr>
              <w:t xml:space="preserve"> 14001:2015, </w:t>
            </w:r>
            <w:r w:rsidRPr="00072AEA">
              <w:rPr>
                <w:sz w:val="20"/>
                <w:szCs w:val="20"/>
              </w:rPr>
              <w:t>ISO</w:t>
            </w:r>
            <w:r w:rsidRPr="00072AEA">
              <w:rPr>
                <w:sz w:val="20"/>
                <w:szCs w:val="20"/>
                <w:lang w:val="el-GR"/>
              </w:rPr>
              <w:t xml:space="preserve"> 37001:2017 ή ισοδύναμα αυτών και ένδειξη </w:t>
            </w:r>
            <w:r w:rsidRPr="00072AEA">
              <w:rPr>
                <w:sz w:val="20"/>
                <w:szCs w:val="20"/>
              </w:rPr>
              <w:t>CE</w:t>
            </w:r>
            <w:r w:rsidRPr="00072AEA">
              <w:rPr>
                <w:sz w:val="20"/>
                <w:szCs w:val="20"/>
                <w:lang w:val="el-GR"/>
              </w:rPr>
              <w:t xml:space="preserve"> για το προσφερόμενο είδος.</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lang w:val="el-GR"/>
              </w:rPr>
            </w:pPr>
            <w:r w:rsidRPr="00072AEA">
              <w:rPr>
                <w:b/>
                <w:sz w:val="20"/>
                <w:szCs w:val="20"/>
              </w:rPr>
              <w:t>1.</w:t>
            </w:r>
            <w:r w:rsidRPr="00072AEA">
              <w:rPr>
                <w:b/>
                <w:sz w:val="20"/>
                <w:szCs w:val="20"/>
                <w:lang w:val="el-GR"/>
              </w:rPr>
              <w:t>9</w:t>
            </w:r>
          </w:p>
        </w:tc>
        <w:tc>
          <w:tcPr>
            <w:tcW w:w="8674" w:type="dxa"/>
            <w:gridSpan w:val="3"/>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Εγχειρίδια χρήσης</w:t>
            </w:r>
          </w:p>
        </w:tc>
      </w:tr>
      <w:tr w:rsidR="00184A38" w:rsidRPr="00072AEA" w:rsidTr="00117A26">
        <w:trPr>
          <w:gridAfter w:val="1"/>
          <w:wAfter w:w="236" w:type="dxa"/>
          <w:trHeight w:val="587"/>
        </w:trPr>
        <w:tc>
          <w:tcPr>
            <w:tcW w:w="960"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sz w:val="20"/>
                <w:szCs w:val="20"/>
              </w:rPr>
              <w:t>1.</w:t>
            </w:r>
            <w:r w:rsidRPr="00072AEA">
              <w:rPr>
                <w:sz w:val="20"/>
                <w:szCs w:val="20"/>
                <w:lang w:val="el-GR"/>
              </w:rPr>
              <w:t>9</w:t>
            </w:r>
            <w:r w:rsidRPr="00072AEA">
              <w:rPr>
                <w:sz w:val="20"/>
                <w:szCs w:val="20"/>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Εγχειρίδια χρήσης και λειτουργίας, καθώς και οδηγίες συντήρησης σε έντυπη ή/και ηλεκτρονική μορφή, στην ελληνική ή/και αγγλική γλώσσα για τα είδη του εξοπλισμού.</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559"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rPr>
            </w:pPr>
          </w:p>
        </w:tc>
      </w:tr>
    </w:tbl>
    <w:p w:rsidR="00184A38" w:rsidRPr="00072AEA" w:rsidRDefault="00184A38" w:rsidP="00184A38">
      <w:pPr>
        <w:tabs>
          <w:tab w:val="left" w:pos="3660"/>
          <w:tab w:val="left" w:pos="3690"/>
        </w:tabs>
        <w:spacing w:before="80" w:line="288" w:lineRule="auto"/>
        <w:ind w:left="0" w:hanging="2"/>
        <w:jc w:val="center"/>
        <w:rPr>
          <w:sz w:val="20"/>
          <w:szCs w:val="20"/>
          <w:u w:val="single"/>
        </w:rPr>
      </w:pPr>
    </w:p>
    <w:p w:rsidR="00184A38" w:rsidRPr="00184A38" w:rsidRDefault="00184A38" w:rsidP="00184A38">
      <w:pPr>
        <w:tabs>
          <w:tab w:val="left" w:pos="3660"/>
          <w:tab w:val="left" w:pos="3690"/>
        </w:tabs>
        <w:spacing w:before="80" w:line="288" w:lineRule="auto"/>
        <w:ind w:left="0" w:hanging="2"/>
        <w:jc w:val="center"/>
        <w:rPr>
          <w:sz w:val="20"/>
          <w:szCs w:val="20"/>
          <w:lang w:val="el-GR"/>
        </w:rPr>
      </w:pPr>
      <w:r w:rsidRPr="00072AEA">
        <w:rPr>
          <w:b/>
          <w:sz w:val="20"/>
          <w:szCs w:val="20"/>
          <w:u w:val="single"/>
          <w:lang w:val="el-GR"/>
        </w:rPr>
        <w:t>Πίνακας ΙΙ.1</w:t>
      </w:r>
      <w:r w:rsidRPr="00072AEA">
        <w:rPr>
          <w:b/>
          <w:sz w:val="20"/>
          <w:szCs w:val="20"/>
          <w:u w:val="single"/>
        </w:rPr>
        <w:t>b</w:t>
      </w:r>
      <w:r w:rsidRPr="00072AEA">
        <w:rPr>
          <w:b/>
          <w:sz w:val="20"/>
          <w:szCs w:val="20"/>
          <w:u w:val="single"/>
          <w:lang w:val="el-GR"/>
        </w:rPr>
        <w:t>:</w:t>
      </w:r>
      <w:r w:rsidRPr="00072AEA">
        <w:rPr>
          <w:b/>
          <w:sz w:val="20"/>
          <w:szCs w:val="20"/>
          <w:lang w:val="el-GR"/>
        </w:rPr>
        <w:t xml:space="preserve"> Πίνακας “Συμμόρφωσης” Τεχνικής Υποστήριξης </w:t>
      </w:r>
    </w:p>
    <w:tbl>
      <w:tblPr>
        <w:tblW w:w="9640" w:type="dxa"/>
        <w:tblInd w:w="-34" w:type="dxa"/>
        <w:tblLayout w:type="fixed"/>
        <w:tblLook w:val="0000" w:firstRow="0" w:lastRow="0" w:firstColumn="0" w:lastColumn="0" w:noHBand="0" w:noVBand="0"/>
      </w:tblPr>
      <w:tblGrid>
        <w:gridCol w:w="993"/>
        <w:gridCol w:w="5670"/>
        <w:gridCol w:w="1559"/>
        <w:gridCol w:w="1418"/>
      </w:tblGrid>
      <w:tr w:rsidR="00184A38" w:rsidRPr="00072AEA" w:rsidTr="00117A26">
        <w:trPr>
          <w:trHeight w:val="585"/>
        </w:trPr>
        <w:tc>
          <w:tcPr>
            <w:tcW w:w="993" w:type="dxa"/>
            <w:tcBorders>
              <w:top w:val="single" w:sz="4" w:space="0" w:color="000000"/>
              <w:left w:val="single" w:sz="4" w:space="0" w:color="000000"/>
              <w:bottom w:val="single" w:sz="4" w:space="0" w:color="000000"/>
              <w:right w:val="single" w:sz="4" w:space="0" w:color="000000"/>
            </w:tcBorders>
            <w:shd w:val="clear" w:color="auto" w:fill="FAC090"/>
            <w:vAlign w:val="center"/>
          </w:tcPr>
          <w:p w:rsidR="00184A38" w:rsidRPr="00072AEA" w:rsidRDefault="00184A38" w:rsidP="00117A26">
            <w:pPr>
              <w:spacing w:line="288" w:lineRule="auto"/>
              <w:ind w:left="0" w:hanging="2"/>
              <w:jc w:val="center"/>
              <w:rPr>
                <w:sz w:val="20"/>
                <w:szCs w:val="20"/>
              </w:rPr>
            </w:pPr>
            <w:r w:rsidRPr="00072AEA">
              <w:rPr>
                <w:b/>
                <w:sz w:val="20"/>
                <w:szCs w:val="20"/>
              </w:rPr>
              <w:t>Α/Α</w:t>
            </w:r>
          </w:p>
        </w:tc>
        <w:tc>
          <w:tcPr>
            <w:tcW w:w="5670" w:type="dxa"/>
            <w:tcBorders>
              <w:top w:val="single" w:sz="4" w:space="0" w:color="000000"/>
              <w:left w:val="nil"/>
              <w:bottom w:val="single" w:sz="4" w:space="0" w:color="000000"/>
              <w:right w:val="single" w:sz="4" w:space="0" w:color="000000"/>
            </w:tcBorders>
            <w:shd w:val="clear" w:color="auto" w:fill="FAC090"/>
            <w:vAlign w:val="center"/>
          </w:tcPr>
          <w:p w:rsidR="00184A38" w:rsidRPr="00072AEA" w:rsidRDefault="00184A38" w:rsidP="00117A26">
            <w:pPr>
              <w:spacing w:line="288" w:lineRule="auto"/>
              <w:ind w:left="0" w:hanging="2"/>
              <w:jc w:val="center"/>
              <w:rPr>
                <w:sz w:val="20"/>
                <w:szCs w:val="20"/>
                <w:lang w:val="el-GR"/>
              </w:rPr>
            </w:pPr>
            <w:r w:rsidRPr="00072AEA">
              <w:rPr>
                <w:b/>
                <w:sz w:val="20"/>
                <w:szCs w:val="20"/>
                <w:lang w:val="el-GR"/>
              </w:rPr>
              <w:t>Τεχνικής Υποστήριξης / Κάλυψης – Χωροθέτησης-Παράδοσης</w:t>
            </w:r>
          </w:p>
        </w:tc>
        <w:tc>
          <w:tcPr>
            <w:tcW w:w="1559" w:type="dxa"/>
            <w:tcBorders>
              <w:top w:val="single" w:sz="4" w:space="0" w:color="000000"/>
              <w:left w:val="nil"/>
              <w:bottom w:val="single" w:sz="4" w:space="0" w:color="000000"/>
              <w:right w:val="single" w:sz="4" w:space="0" w:color="000000"/>
            </w:tcBorders>
            <w:shd w:val="clear" w:color="auto" w:fill="FAC090"/>
            <w:vAlign w:val="center"/>
          </w:tcPr>
          <w:p w:rsidR="00184A38" w:rsidRPr="00072AEA" w:rsidRDefault="00184A38" w:rsidP="00117A26">
            <w:pPr>
              <w:spacing w:line="288" w:lineRule="auto"/>
              <w:ind w:left="0" w:hanging="2"/>
              <w:jc w:val="center"/>
              <w:rPr>
                <w:sz w:val="20"/>
                <w:szCs w:val="20"/>
              </w:rPr>
            </w:pPr>
            <w:r w:rsidRPr="00072AEA">
              <w:rPr>
                <w:b/>
                <w:sz w:val="20"/>
                <w:szCs w:val="20"/>
              </w:rPr>
              <w:t>ΝΑΙ - ΟΧΙ</w:t>
            </w:r>
          </w:p>
        </w:tc>
        <w:tc>
          <w:tcPr>
            <w:tcW w:w="1418" w:type="dxa"/>
            <w:tcBorders>
              <w:top w:val="single" w:sz="4" w:space="0" w:color="000000"/>
              <w:left w:val="nil"/>
              <w:bottom w:val="single" w:sz="4" w:space="0" w:color="000000"/>
              <w:right w:val="single" w:sz="4" w:space="0" w:color="000000"/>
            </w:tcBorders>
            <w:shd w:val="clear" w:color="auto" w:fill="FAC090"/>
            <w:vAlign w:val="center"/>
          </w:tcPr>
          <w:p w:rsidR="00184A38" w:rsidRPr="00072AEA" w:rsidRDefault="00184A38" w:rsidP="00117A26">
            <w:pPr>
              <w:spacing w:line="288" w:lineRule="auto"/>
              <w:ind w:left="0" w:hanging="2"/>
              <w:jc w:val="center"/>
              <w:rPr>
                <w:sz w:val="20"/>
                <w:szCs w:val="20"/>
              </w:rPr>
            </w:pPr>
            <w:r w:rsidRPr="00072AEA">
              <w:rPr>
                <w:b/>
                <w:sz w:val="20"/>
                <w:szCs w:val="20"/>
              </w:rPr>
              <w:t>ΠΑΡΑΠΟΜΠΗ</w:t>
            </w:r>
          </w:p>
        </w:tc>
      </w:tr>
      <w:tr w:rsidR="00184A38" w:rsidRPr="00072AEA" w:rsidTr="00117A26">
        <w:trPr>
          <w:trHeight w:val="720"/>
        </w:trPr>
        <w:tc>
          <w:tcPr>
            <w:tcW w:w="993" w:type="dxa"/>
            <w:tcBorders>
              <w:top w:val="nil"/>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b/>
                <w:sz w:val="20"/>
                <w:szCs w:val="20"/>
                <w:lang w:val="el-GR"/>
              </w:rPr>
              <w:t>1</w:t>
            </w:r>
          </w:p>
        </w:tc>
        <w:tc>
          <w:tcPr>
            <w:tcW w:w="8647" w:type="dxa"/>
            <w:gridSpan w:val="3"/>
            <w:tcBorders>
              <w:top w:val="nil"/>
              <w:left w:val="nil"/>
              <w:bottom w:val="single" w:sz="4" w:space="0" w:color="000000"/>
              <w:right w:val="single" w:sz="4" w:space="0" w:color="000000"/>
            </w:tcBorders>
            <w:vAlign w:val="center"/>
          </w:tcPr>
          <w:p w:rsidR="00184A38" w:rsidRPr="00072AEA" w:rsidRDefault="00184A38" w:rsidP="00117A26">
            <w:pPr>
              <w:spacing w:line="288" w:lineRule="auto"/>
              <w:ind w:left="0" w:hanging="2"/>
              <w:jc w:val="left"/>
              <w:rPr>
                <w:sz w:val="20"/>
                <w:szCs w:val="20"/>
                <w:lang w:val="el-GR"/>
              </w:rPr>
            </w:pPr>
            <w:r w:rsidRPr="00072AEA">
              <w:rPr>
                <w:b/>
                <w:bCs/>
                <w:sz w:val="20"/>
                <w:szCs w:val="20"/>
                <w:lang w:val="el-GR"/>
              </w:rPr>
              <w:t>Εγγύηση καλής λειτουργίας και τεχνικής υποστήριξης</w:t>
            </w:r>
          </w:p>
        </w:tc>
      </w:tr>
      <w:tr w:rsidR="00184A38" w:rsidRPr="00072AEA" w:rsidTr="00117A26">
        <w:trPr>
          <w:trHeight w:val="1440"/>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1.1</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widowControl w:val="0"/>
              <w:ind w:left="0" w:hanging="2"/>
              <w:rPr>
                <w:sz w:val="20"/>
                <w:szCs w:val="20"/>
                <w:lang w:val="el-GR"/>
              </w:rPr>
            </w:pPr>
            <w:r w:rsidRPr="00072AEA">
              <w:rPr>
                <w:sz w:val="20"/>
                <w:szCs w:val="20"/>
                <w:lang w:val="el-GR"/>
              </w:rPr>
              <w:t>Αναλυτική περιγραφή της προσφερόμενης εγγύησης, με αναλυτική αναφορά στη δωρεάν τεχνική κάλυψη και τις προβλεπόμενες από τον κατασκευαστικό οίκο συντηρήσεις του μηχανήματος για τη χρονική περίοδο που προσφέρεται η εγγύηση.</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1.2</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widowControl w:val="0"/>
              <w:ind w:left="0" w:hanging="2"/>
              <w:rPr>
                <w:sz w:val="20"/>
                <w:szCs w:val="20"/>
                <w:lang w:val="el-GR"/>
              </w:rPr>
            </w:pPr>
            <w:r w:rsidRPr="00072AEA">
              <w:rPr>
                <w:sz w:val="20"/>
                <w:szCs w:val="20"/>
                <w:lang w:val="el-GR"/>
              </w:rPr>
              <w:t>Έγγραφη δέσμευση, υπό μορφή Υπεύθυνης Δήλωσης υποβαλλόμενης στο φάκελο της Τεχνικής Προσφοράς, ότι κατά τη διάρκεια ισχύος της προσφερόμενης εγγύησης η Αναθέτουσα Αρχή δεν ευθύνεται για καμία βλάβη του όλου εξοπλισμού προερχόμενη από τη συνήθη και ορθή χρήση του και δεν  επιβαρύνεται με κανένα ποσό για εργατικά και ανταλλακτικά.</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273"/>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1.3</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Έγγραφη δέσμευση υπό μορφή Υπεύθυνης Δήλωσης υποβαλλόμενης στο φάκελο της Τεχνικής Προσφοράς, για παροχή εγγύησης τεχνικής υποστήριξης για διάστημα κατ’ ελάχιστον τεσσάρων (4) ετών μετά το πέρας του χρόνου εγγύησης καλής λειτουργίας.</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1440"/>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1.4</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Βεβαίωση διάθεσης ιδίας τεχνικής υπηρεσίας εξυπηρέτησης (</w:t>
            </w:r>
            <w:r w:rsidRPr="00072AEA">
              <w:rPr>
                <w:sz w:val="20"/>
                <w:szCs w:val="20"/>
              </w:rPr>
              <w:t>service</w:t>
            </w:r>
            <w:r w:rsidRPr="00072AEA">
              <w:rPr>
                <w:sz w:val="20"/>
                <w:szCs w:val="20"/>
                <w:lang w:val="el-GR"/>
              </w:rPr>
              <w:t>), με εκπαιδευμένο προσωπικό για τη συντήρηση και επισκευή του συστήματος, καθώς και για την εκπαίδευση προσωπικού της Αναθέτουσας Αρχής για τουλάχιστον πέντε (5) έτη.</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1440"/>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lastRenderedPageBreak/>
              <w:t>1.5</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Έγγραφη δέσμευση υπό μορφή Υπεύθυνης Δήλωσης υποβαλλόμενης στο φάκελο της Τεχνικής Προσφοράς, για τη διάθεση ανταλλακτικών και εξαρτημάτων για τη διασφάλιση της ορθής λειτουργίας του συστήματος και τη μελλοντική του αναβάθμιση για τουλάχιστον δέκα (10) συνολικά έτη από την οριστική παραλαβή του εξοπλισμού, η οποία θα συνοδεύεται από έγγραφη δέσμευση του κατασκευαστή ή του εξουσιοδοτημένου αντιπροσώπου του στην Ευρωπαϊκή Ένωση.</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1440"/>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1.6</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Η παρεχόμενη σε έτη εγγύηση καλής λειτουργίας και δωρεάν συντήρησης των ειδών να ισχύει τουλάχιστον για δύο (2) χρόνια, με έναρξη από την ημερομηνία οριστικής ποιοτικής και ποσοτικής παραλαβής του εξοπλισμού και όλων των συμφωνημένων παρελκόμενων αυτού, που προϋποθέτει εγκατάσταση του μηχανήματος σε κατάσταση πλήρους λειτουργίας και ολοκλήρωση των προβλεπόμενων ελέγχων-δοκιμών.</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Chars="0" w:left="0" w:firstLineChars="0" w:firstLine="0"/>
              <w:rPr>
                <w:sz w:val="20"/>
                <w:szCs w:val="20"/>
                <w:lang w:val="el-GR"/>
              </w:rPr>
            </w:pPr>
            <w:r w:rsidRPr="00072AEA">
              <w:rPr>
                <w:b/>
                <w:sz w:val="20"/>
                <w:szCs w:val="20"/>
              </w:rPr>
              <w:t> </w:t>
            </w:r>
          </w:p>
        </w:tc>
      </w:tr>
      <w:tr w:rsidR="00184A38" w:rsidRPr="00072AEA" w:rsidTr="00117A26">
        <w:trPr>
          <w:trHeight w:val="469"/>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2</w:t>
            </w:r>
          </w:p>
        </w:tc>
        <w:tc>
          <w:tcPr>
            <w:tcW w:w="8647" w:type="dxa"/>
            <w:gridSpan w:val="3"/>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b/>
                <w:bCs/>
                <w:sz w:val="20"/>
                <w:szCs w:val="20"/>
              </w:rPr>
            </w:pPr>
            <w:r w:rsidRPr="00072AEA">
              <w:rPr>
                <w:b/>
                <w:bCs/>
                <w:sz w:val="20"/>
                <w:szCs w:val="20"/>
              </w:rPr>
              <w:t>Εκπαίδευση προσωπικού</w:t>
            </w:r>
          </w:p>
        </w:tc>
      </w:tr>
      <w:tr w:rsidR="00184A38" w:rsidRPr="00072AEA" w:rsidTr="00117A26">
        <w:trPr>
          <w:trHeight w:val="698"/>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Cs/>
                <w:sz w:val="20"/>
                <w:szCs w:val="20"/>
              </w:rPr>
            </w:pPr>
            <w:r w:rsidRPr="00072AEA">
              <w:rPr>
                <w:bCs/>
                <w:sz w:val="20"/>
                <w:szCs w:val="20"/>
                <w:lang w:val="el-GR"/>
              </w:rPr>
              <w:t>2</w:t>
            </w:r>
            <w:r w:rsidRPr="00072AEA">
              <w:rPr>
                <w:bCs/>
                <w:sz w:val="20"/>
                <w:szCs w:val="20"/>
              </w:rPr>
              <w:t>.1</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Άνευ οικονομικής επιβάρυνσης, παροχή εκπαίδευσης προσωπικού του εντολέα στο χειρισμό και τη βασική συντήρηση, επιπέδου χειριστή, του προς προμήθεια εξοπλισμού.</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694"/>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Cs/>
                <w:sz w:val="20"/>
                <w:szCs w:val="20"/>
              </w:rPr>
            </w:pPr>
            <w:r w:rsidRPr="00072AEA">
              <w:rPr>
                <w:bCs/>
                <w:sz w:val="20"/>
                <w:szCs w:val="20"/>
                <w:lang w:val="el-GR"/>
              </w:rPr>
              <w:t>2</w:t>
            </w:r>
            <w:r w:rsidRPr="00072AEA">
              <w:rPr>
                <w:bCs/>
                <w:sz w:val="20"/>
                <w:szCs w:val="20"/>
              </w:rPr>
              <w:t>.2</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Αναλυτικό πρόγραμμα εκπαίδευσης προσωπικού, υποβαλλόμενης στο φάκελο της Τεχνικής Προσφοράς.</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694"/>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Cs/>
                <w:sz w:val="20"/>
                <w:szCs w:val="20"/>
              </w:rPr>
            </w:pPr>
            <w:r w:rsidRPr="00072AEA">
              <w:rPr>
                <w:bCs/>
                <w:sz w:val="20"/>
                <w:szCs w:val="20"/>
                <w:lang w:val="el-GR"/>
              </w:rPr>
              <w:t>2</w:t>
            </w:r>
            <w:r w:rsidRPr="00072AEA">
              <w:rPr>
                <w:bCs/>
                <w:sz w:val="20"/>
                <w:szCs w:val="20"/>
              </w:rPr>
              <w:t>.3</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sz w:val="20"/>
                <w:szCs w:val="20"/>
                <w:lang w:val="el-GR"/>
              </w:rPr>
            </w:pPr>
            <w:r w:rsidRPr="00072AEA">
              <w:rPr>
                <w:sz w:val="20"/>
                <w:szCs w:val="20"/>
                <w:lang w:val="el-GR"/>
              </w:rPr>
              <w:t>Υποχρέωση χορήγησης ατομικής βεβαίωσης – πιστοποίησης χειρισμού και βασικής συντήρησης, επιπέδου χειριστή, στο προς εκπαίδευση προσωπικό.</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sz w:val="20"/>
                <w:szCs w:val="20"/>
              </w:rPr>
            </w:pPr>
          </w:p>
        </w:tc>
      </w:tr>
      <w:tr w:rsidR="00184A38" w:rsidRPr="00072AEA" w:rsidTr="00117A26">
        <w:trPr>
          <w:trHeight w:val="694"/>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sz w:val="20"/>
                <w:szCs w:val="20"/>
                <w:lang w:val="el-GR"/>
              </w:rPr>
            </w:pPr>
            <w:r w:rsidRPr="00072AEA">
              <w:rPr>
                <w:sz w:val="20"/>
                <w:szCs w:val="20"/>
                <w:lang w:val="el-GR"/>
              </w:rPr>
              <w:t>3</w:t>
            </w:r>
          </w:p>
        </w:tc>
        <w:tc>
          <w:tcPr>
            <w:tcW w:w="8647" w:type="dxa"/>
            <w:gridSpan w:val="3"/>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rPr>
                <w:b/>
                <w:sz w:val="20"/>
                <w:szCs w:val="20"/>
              </w:rPr>
            </w:pPr>
            <w:r w:rsidRPr="00072AEA">
              <w:rPr>
                <w:b/>
                <w:sz w:val="20"/>
                <w:szCs w:val="20"/>
              </w:rPr>
              <w:t>Παράδοση και εγκατάσταση</w:t>
            </w:r>
          </w:p>
        </w:tc>
      </w:tr>
      <w:tr w:rsidR="00184A38" w:rsidRPr="00072AEA" w:rsidTr="00117A26">
        <w:trPr>
          <w:trHeight w:val="694"/>
        </w:trPr>
        <w:tc>
          <w:tcPr>
            <w:tcW w:w="993" w:type="dxa"/>
            <w:tcBorders>
              <w:top w:val="single" w:sz="4" w:space="0" w:color="000000"/>
              <w:left w:val="single" w:sz="4" w:space="0" w:color="000000"/>
              <w:bottom w:val="single" w:sz="4" w:space="0" w:color="000000"/>
              <w:right w:val="single" w:sz="4" w:space="0" w:color="000000"/>
            </w:tcBorders>
            <w:vAlign w:val="center"/>
          </w:tcPr>
          <w:p w:rsidR="00184A38" w:rsidRPr="00072AEA" w:rsidRDefault="00184A38" w:rsidP="00117A26">
            <w:pPr>
              <w:spacing w:line="288" w:lineRule="auto"/>
              <w:ind w:left="0" w:hanging="2"/>
              <w:jc w:val="center"/>
              <w:rPr>
                <w:bCs/>
                <w:sz w:val="20"/>
                <w:szCs w:val="20"/>
              </w:rPr>
            </w:pPr>
            <w:r w:rsidRPr="00072AEA">
              <w:rPr>
                <w:bCs/>
                <w:sz w:val="20"/>
                <w:szCs w:val="20"/>
                <w:lang w:val="el-GR"/>
              </w:rPr>
              <w:t>3</w:t>
            </w:r>
            <w:r w:rsidRPr="00072AEA">
              <w:rPr>
                <w:bCs/>
                <w:sz w:val="20"/>
                <w:szCs w:val="20"/>
              </w:rPr>
              <w:t>.1</w:t>
            </w:r>
          </w:p>
        </w:tc>
        <w:tc>
          <w:tcPr>
            <w:tcW w:w="5670"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ind w:left="0" w:hanging="2"/>
              <w:rPr>
                <w:lang w:val="el-GR"/>
              </w:rPr>
            </w:pPr>
            <w:r w:rsidRPr="00072AEA">
              <w:rPr>
                <w:sz w:val="20"/>
                <w:lang w:val="el-GR"/>
              </w:rPr>
              <w:t>Εγκατάσταση του εξοπλισμού και παράδοσή του σε πλήρη λειτουργία, με ειδικευμένο και ασφαλισμένο προσωπικό του προμηθευτή και δική του ολοκληρωτικά ευθύνη, σύμφωνα με τους τεχνικούς &amp; επιστημονικούς κανόνες, τις οδηγίες και τα σχέδια του κατασκευαστικού οίκου και τις οδηγίες των αρμοδίων υπηρεσιών της Αναθέτουσας Αρχής, στο χώρο που προβλέπεται, λαμβάνοντας υπόψιν τις απαιτήσεις αυτού και εξετάζοντας τις γενικότερες προδιαγραφές (π.χ. ηλεκτρική παροχή κλπ.) πριν την εγκατάσταση.</w:t>
            </w:r>
          </w:p>
        </w:tc>
        <w:tc>
          <w:tcPr>
            <w:tcW w:w="1559" w:type="dxa"/>
            <w:tcBorders>
              <w:top w:val="single" w:sz="4" w:space="0" w:color="000000"/>
              <w:left w:val="nil"/>
              <w:bottom w:val="single" w:sz="4" w:space="0" w:color="000000"/>
              <w:right w:val="single" w:sz="4" w:space="0" w:color="000000"/>
            </w:tcBorders>
            <w:vAlign w:val="center"/>
          </w:tcPr>
          <w:p w:rsidR="00184A38" w:rsidRPr="00072AEA" w:rsidRDefault="00184A38" w:rsidP="00117A26">
            <w:pPr>
              <w:spacing w:line="288" w:lineRule="auto"/>
              <w:ind w:left="0" w:hanging="2"/>
              <w:jc w:val="center"/>
              <w:rPr>
                <w:b/>
                <w:sz w:val="20"/>
                <w:szCs w:val="20"/>
              </w:rPr>
            </w:pPr>
            <w:r w:rsidRPr="00072AEA">
              <w:rPr>
                <w:b/>
                <w:sz w:val="20"/>
                <w:szCs w:val="20"/>
              </w:rPr>
              <w:t xml:space="preserve">□ □                        </w:t>
            </w:r>
          </w:p>
        </w:tc>
        <w:tc>
          <w:tcPr>
            <w:tcW w:w="1418" w:type="dxa"/>
            <w:tcBorders>
              <w:top w:val="single" w:sz="4" w:space="0" w:color="000000"/>
              <w:left w:val="nil"/>
              <w:bottom w:val="single" w:sz="4" w:space="0" w:color="000000"/>
              <w:right w:val="single" w:sz="4" w:space="0" w:color="000000"/>
            </w:tcBorders>
          </w:tcPr>
          <w:p w:rsidR="00184A38" w:rsidRPr="00072AEA" w:rsidRDefault="00184A38" w:rsidP="00117A26">
            <w:pPr>
              <w:spacing w:line="288" w:lineRule="auto"/>
              <w:ind w:left="0" w:hanging="2"/>
              <w:rPr>
                <w:b/>
                <w:sz w:val="20"/>
                <w:szCs w:val="20"/>
              </w:rPr>
            </w:pPr>
          </w:p>
        </w:tc>
      </w:tr>
    </w:tbl>
    <w:p w:rsidR="00184A38" w:rsidRPr="00072AEA" w:rsidRDefault="00184A38" w:rsidP="00184A38">
      <w:pPr>
        <w:tabs>
          <w:tab w:val="left" w:pos="3660"/>
          <w:tab w:val="left" w:pos="3690"/>
        </w:tabs>
        <w:spacing w:before="80" w:line="288" w:lineRule="auto"/>
        <w:ind w:left="0" w:hanging="2"/>
        <w:rPr>
          <w:sz w:val="20"/>
          <w:szCs w:val="20"/>
          <w:u w:val="single"/>
        </w:rPr>
      </w:pPr>
    </w:p>
    <w:p w:rsidR="00184A38" w:rsidRPr="00072AEA" w:rsidRDefault="00184A38" w:rsidP="00184A38">
      <w:pPr>
        <w:pBdr>
          <w:top w:val="nil"/>
          <w:left w:val="nil"/>
          <w:bottom w:val="nil"/>
          <w:right w:val="nil"/>
          <w:between w:val="nil"/>
        </w:pBdr>
        <w:spacing w:before="57" w:after="57" w:line="240" w:lineRule="auto"/>
        <w:ind w:left="0" w:hanging="2"/>
        <w:rPr>
          <w:color w:val="5B9BD5"/>
          <w:szCs w:val="22"/>
        </w:rPr>
      </w:pPr>
    </w:p>
    <w:p w:rsidR="00184A38" w:rsidRPr="00072AEA" w:rsidRDefault="00184A38" w:rsidP="00184A38">
      <w:pPr>
        <w:spacing w:before="57" w:after="57"/>
        <w:ind w:leftChars="0" w:left="0" w:firstLineChars="0" w:firstLine="0"/>
        <w:rPr>
          <w:color w:val="5B9BD5"/>
          <w:lang w:val="el-GR"/>
        </w:rPr>
      </w:pPr>
    </w:p>
    <w:p w:rsidR="002B200A" w:rsidRDefault="002B200A">
      <w:pPr>
        <w:ind w:left="0" w:hanging="2"/>
      </w:pPr>
      <w:bookmarkStart w:id="2" w:name="_GoBack"/>
      <w:bookmarkEnd w:id="2"/>
    </w:p>
    <w:sectPr w:rsidR="002B20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38"/>
    <w:rsid w:val="00184A38"/>
    <w:rsid w:val="002B20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A9FCD-FA31-41A6-B2FB-D7BB45BD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A38"/>
    <w:pPr>
      <w:spacing w:after="120" w:line="1" w:lineRule="atLeast"/>
      <w:ind w:leftChars="-1" w:left="-1" w:hangingChars="1" w:hanging="1"/>
      <w:jc w:val="both"/>
      <w:textDirection w:val="btLr"/>
      <w:textAlignment w:val="top"/>
      <w:outlineLvl w:val="0"/>
    </w:pPr>
    <w:rPr>
      <w:rFonts w:ascii="Calibri" w:eastAsia="Calibri" w:hAnsi="Calibri" w:cs="Calibri"/>
      <w:position w:val="-1"/>
      <w:szCs w:val="24"/>
      <w:lang w:val="en-GB" w:eastAsia="zh-CN"/>
    </w:rPr>
  </w:style>
  <w:style w:type="paragraph" w:styleId="1">
    <w:name w:val="heading 1"/>
    <w:basedOn w:val="a"/>
    <w:next w:val="a"/>
    <w:link w:val="1Char"/>
    <w:uiPriority w:val="9"/>
    <w:qFormat/>
    <w:rsid w:val="00184A38"/>
    <w:pPr>
      <w:keepNext/>
      <w:keepLines/>
      <w:spacing w:before="240" w:after="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unhideWhenUsed/>
    <w:qFormat/>
    <w:rsid w:val="00184A38"/>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Calibri"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84A38"/>
    <w:rPr>
      <w:rFonts w:ascii="Arial" w:eastAsia="Calibri" w:hAnsi="Arial" w:cs="Arial"/>
      <w:b/>
      <w:color w:val="002060"/>
      <w:position w:val="-1"/>
      <w:sz w:val="24"/>
      <w:lang w:val="en-GB" w:eastAsia="zh-CN"/>
    </w:rPr>
  </w:style>
  <w:style w:type="character" w:customStyle="1" w:styleId="1Char">
    <w:name w:val="Επικεφαλίδα 1 Char"/>
    <w:basedOn w:val="a0"/>
    <w:link w:val="1"/>
    <w:uiPriority w:val="9"/>
    <w:rsid w:val="00184A38"/>
    <w:rPr>
      <w:rFonts w:asciiTheme="majorHAnsi" w:eastAsiaTheme="majorEastAsia" w:hAnsiTheme="majorHAnsi" w:cstheme="majorBidi"/>
      <w:color w:val="2F5496" w:themeColor="accent1" w:themeShade="BF"/>
      <w:position w:val="-1"/>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3675</Words>
  <Characters>19851</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2025-11-21T08:36:00Z</dcterms:created>
  <dcterms:modified xsi:type="dcterms:W3CDTF">2025-11-21T08:37:00Z</dcterms:modified>
</cp:coreProperties>
</file>